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orizontalLine"/>
        <w:bidi w:val="0"/>
        <w:jc w:val="left"/>
        <w:rPr/>
      </w:pPr>
      <w:r>
        <w:rPr/>
      </w:r>
    </w:p>
    <w:p>
      <w:pPr>
        <w:pStyle w:val="TextBody"/>
        <w:bidi w:val="0"/>
        <w:spacing w:before="0" w:after="0"/>
        <w:jc w:val="left"/>
        <w:rPr/>
      </w:pPr>
      <w:r>
        <w:rPr/>
      </w:r>
    </w:p>
    <w:p>
      <w:pPr>
        <w:pStyle w:val="TextBody"/>
        <w:bidi w:val="0"/>
        <w:spacing w:lineRule="auto" w:line="300" w:before="0" w:after="0"/>
        <w:jc w:val="center"/>
        <w:rPr>
          <w:rFonts w:ascii="Times New Roman;Times;serif" w:hAnsi="Times New Roman;Times;serif"/>
          <w:b/>
          <w:color w:val="000000"/>
          <w:sz w:val="28"/>
          <w:shd w:fill="FFFFFF" w:val="clear"/>
        </w:rPr>
      </w:pPr>
      <w:r>
        <w:rPr>
          <w:rFonts w:ascii="Times New Roman;Times;serif" w:hAnsi="Times New Roman;Times;serif"/>
          <w:b/>
          <w:color w:val="000000"/>
          <w:sz w:val="28"/>
          <w:shd w:fill="FFFFFF" w:val="clear"/>
        </w:rPr>
        <w:t>UNITED STATES</w:t>
      </w:r>
    </w:p>
    <w:p>
      <w:pPr>
        <w:pStyle w:val="TextBody"/>
        <w:bidi w:val="0"/>
        <w:spacing w:lineRule="auto" w:line="300" w:before="0" w:after="0"/>
        <w:jc w:val="center"/>
        <w:rPr>
          <w:rFonts w:ascii="Times New Roman;Times;serif" w:hAnsi="Times New Roman;Times;serif"/>
          <w:b/>
          <w:color w:val="000000"/>
          <w:sz w:val="28"/>
          <w:shd w:fill="FFFFFF" w:val="clear"/>
        </w:rPr>
      </w:pPr>
      <w:r>
        <w:rPr>
          <w:rFonts w:ascii="Times New Roman;Times;serif" w:hAnsi="Times New Roman;Times;serif"/>
          <w:b/>
          <w:color w:val="000000"/>
          <w:sz w:val="28"/>
          <w:shd w:fill="FFFFFF" w:val="clear"/>
        </w:rPr>
        <w:t>SECURITIES AND EXCHANGE COMMISSION</w:t>
      </w:r>
    </w:p>
    <w:p>
      <w:pPr>
        <w:pStyle w:val="TextBody"/>
        <w:bidi w:val="0"/>
        <w:spacing w:lineRule="auto" w:line="300" w:before="0" w:after="0"/>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Washington, D.C. 20549</w:t>
      </w:r>
    </w:p>
    <w:p>
      <w:pPr>
        <w:pStyle w:val="TextBody"/>
        <w:bidi w:val="0"/>
        <w:spacing w:lineRule="auto" w:line="300" w:before="0" w:after="0"/>
        <w:ind w:left="0" w:right="0" w:firstLine="720"/>
        <w:jc w:val="center"/>
        <w:rPr>
          <w:color w:val="000000"/>
          <w:shd w:fill="FFFFFF" w:val="clear"/>
        </w:rPr>
      </w:pPr>
      <w:r>
        <w:rPr>
          <w:color w:val="000000"/>
          <w:shd w:fill="FFFFFF" w:val="clear"/>
        </w:rPr>
        <w:t> </w:t>
      </w:r>
    </w:p>
    <w:p>
      <w:pPr>
        <w:pStyle w:val="TextBody"/>
        <w:bidi w:val="0"/>
        <w:spacing w:lineRule="auto" w:line="300" w:before="0" w:after="0"/>
        <w:jc w:val="center"/>
        <w:rPr>
          <w:rFonts w:ascii="Times New Roman;Times;serif" w:hAnsi="Times New Roman;Times;serif"/>
          <w:b/>
          <w:color w:val="000000"/>
          <w:sz w:val="28"/>
          <w:shd w:fill="FFFFFF" w:val="clear"/>
        </w:rPr>
      </w:pPr>
      <w:r>
        <w:rPr>
          <w:rFonts w:ascii="Times New Roman;Times;serif" w:hAnsi="Times New Roman;Times;serif"/>
          <w:b/>
          <w:color w:val="000000"/>
          <w:sz w:val="28"/>
          <w:shd w:fill="FFFFFF" w:val="clear"/>
        </w:rPr>
        <w:t>FORM 8-K</w:t>
      </w:r>
    </w:p>
    <w:p>
      <w:pPr>
        <w:pStyle w:val="TextBody"/>
        <w:bidi w:val="0"/>
        <w:spacing w:lineRule="auto" w:line="300" w:before="0" w:after="0"/>
        <w:jc w:val="center"/>
        <w:rPr>
          <w:rFonts w:ascii="Times New Roman;Times;serif" w:hAnsi="Times New Roman;Times;serif"/>
          <w:b/>
          <w:sz w:val="20"/>
        </w:rPr>
      </w:pPr>
      <w:r>
        <w:rPr>
          <w:rFonts w:ascii="Times New Roman;Times;serif" w:hAnsi="Times New Roman;Times;serif"/>
          <w:b/>
          <w:sz w:val="20"/>
        </w:rPr>
      </w:r>
    </w:p>
    <w:p>
      <w:pPr>
        <w:pStyle w:val="TextBody"/>
        <w:bidi w:val="0"/>
        <w:spacing w:lineRule="auto" w:line="300" w:before="0" w:after="0"/>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CURRENT REPORT</w:t>
      </w:r>
    </w:p>
    <w:p>
      <w:pPr>
        <w:pStyle w:val="TextBody"/>
        <w:bidi w:val="0"/>
        <w:spacing w:lineRule="auto" w:line="300" w:before="0" w:after="0"/>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Pursuant to Section 13 or 15(d) of the Securities Exchange Act of 1934 </w:t>
      </w:r>
    </w:p>
    <w:p>
      <w:pPr>
        <w:pStyle w:val="TextBody"/>
        <w:bidi w:val="0"/>
        <w:spacing w:lineRule="auto" w:line="300" w:before="0" w:after="0"/>
        <w:ind w:left="0" w:right="0" w:firstLine="720"/>
        <w:jc w:val="both"/>
        <w:rPr>
          <w:color w:val="000000"/>
          <w:shd w:fill="FFFFFF" w:val="clear"/>
        </w:rPr>
      </w:pPr>
      <w:r>
        <w:rPr>
          <w:color w:val="000000"/>
          <w:shd w:fill="FFFFFF" w:val="clear"/>
        </w:rPr>
        <w:t> </w:t>
      </w:r>
    </w:p>
    <w:p>
      <w:pPr>
        <w:pStyle w:val="TextBody"/>
        <w:bidi w:val="0"/>
        <w:spacing w:lineRule="auto" w:line="300" w:before="0" w:after="0"/>
        <w:jc w:val="center"/>
        <w:rPr>
          <w:rFonts w:ascii="Times New Roman;Times;serif" w:hAnsi="Times New Roman;Times;serif"/>
          <w:b w:val="false"/>
          <w:color w:val="000000"/>
          <w:sz w:val="20"/>
          <w:shd w:fill="FFFFFF" w:val="clear"/>
        </w:rPr>
      </w:pPr>
      <w:r>
        <w:rPr>
          <w:rFonts w:ascii="Times New Roman;Times;serif" w:hAnsi="Times New Roman;Times;serif"/>
          <w:b w:val="false"/>
          <w:color w:val="000000"/>
          <w:sz w:val="20"/>
          <w:shd w:fill="FFFFFF" w:val="clear"/>
        </w:rPr>
        <w:t xml:space="preserve">Date of Report (Date of earliest event reported): </w:t>
      </w:r>
      <w:r>
        <w:rPr>
          <w:rFonts w:ascii="Times New Roman;Times;serif" w:hAnsi="Times New Roman;Times;serif"/>
          <w:b w:val="false"/>
          <w:color w:val="000000"/>
          <w:sz w:val="20"/>
          <w:u w:val="single"/>
          <w:shd w:fill="FFFFFF" w:val="clear"/>
        </w:rPr>
        <w:t>June 30, 2026</w:t>
      </w:r>
    </w:p>
    <w:p>
      <w:pPr>
        <w:pStyle w:val="TextBody"/>
        <w:bidi w:val="0"/>
        <w:spacing w:lineRule="auto" w:line="300" w:before="0" w:after="0"/>
        <w:ind w:left="0" w:right="0" w:firstLine="720"/>
        <w:jc w:val="both"/>
        <w:rPr>
          <w:color w:val="000000"/>
          <w:shd w:fill="FFFFFF" w:val="clear"/>
        </w:rPr>
      </w:pPr>
      <w:r>
        <w:rPr>
          <w:color w:val="000000"/>
          <w:shd w:fill="FFFFFF" w:val="clear"/>
        </w:rPr>
        <w:t> </w:t>
      </w:r>
    </w:p>
    <w:p>
      <w:pPr>
        <w:pStyle w:val="TextBody"/>
        <w:bidi w:val="0"/>
        <w:spacing w:lineRule="auto" w:line="300" w:before="0" w:after="0"/>
        <w:jc w:val="center"/>
        <w:rPr>
          <w:rFonts w:ascii="Times New Roman;Times;serif" w:hAnsi="Times New Roman;Times;serif"/>
          <w:b/>
          <w:color w:val="000000"/>
          <w:sz w:val="32"/>
          <w:shd w:fill="FFFFFF" w:val="clear"/>
        </w:rPr>
      </w:pPr>
      <w:r>
        <w:rPr>
          <w:rFonts w:ascii="Times New Roman;Times;serif" w:hAnsi="Times New Roman;Times;serif"/>
          <w:b/>
          <w:color w:val="000000"/>
          <w:sz w:val="32"/>
          <w:shd w:fill="FFFFFF" w:val="clear"/>
        </w:rPr>
        <w:t>Lifeward Ltd.</w:t>
      </w:r>
    </w:p>
    <w:p>
      <w:pPr>
        <w:pStyle w:val="HorizontalLine"/>
        <w:bidi w:val="0"/>
        <w:spacing w:lineRule="auto" w:line="300"/>
        <w:jc w:val="center"/>
        <w:rPr/>
      </w:pPr>
      <w:r>
        <w:rPr/>
      </w:r>
    </w:p>
    <w:p>
      <w:pPr>
        <w:pStyle w:val="TextBody"/>
        <w:bidi w:val="0"/>
        <w:spacing w:lineRule="auto" w:line="300" w:before="0" w:after="0"/>
        <w:jc w:val="center"/>
        <w:rPr>
          <w:rFonts w:ascii="Times New Roman;Times;serif" w:hAnsi="Times New Roman;Times;serif"/>
          <w:b w:val="false"/>
          <w:color w:val="000000"/>
          <w:sz w:val="20"/>
          <w:shd w:fill="FFFFFF" w:val="clear"/>
        </w:rPr>
      </w:pPr>
      <w:r>
        <w:rPr>
          <w:rFonts w:ascii="Times New Roman;Times;serif" w:hAnsi="Times New Roman;Times;serif"/>
          <w:b w:val="false"/>
          <w:color w:val="000000"/>
          <w:sz w:val="20"/>
          <w:shd w:fill="FFFFFF" w:val="clear"/>
        </w:rPr>
        <w:t>(Exact name of registrant as specified in its charter)</w:t>
      </w:r>
    </w:p>
    <w:p>
      <w:pPr>
        <w:pStyle w:val="TextBody"/>
        <w:bidi w:val="0"/>
        <w:spacing w:lineRule="auto" w:line="300" w:before="0" w:after="0"/>
        <w:ind w:left="0" w:right="0" w:firstLine="720"/>
        <w:jc w:val="center"/>
        <w:rPr>
          <w:color w:val="000000"/>
          <w:shd w:fill="FFFFFF" w:val="clear"/>
        </w:rPr>
      </w:pPr>
      <w:r>
        <w:rPr>
          <w:color w:val="000000"/>
          <w:shd w:fill="FFFFFF" w:val="clear"/>
        </w:rPr>
        <w:t>  </w:t>
      </w:r>
    </w:p>
    <w:tbl>
      <w:tblPr>
        <w:tblW w:w="8715" w:type="dxa"/>
        <w:jc w:val="left"/>
        <w:tblInd w:w="0" w:type="dxa"/>
        <w:tblLayout w:type="fixed"/>
        <w:tblCellMar>
          <w:top w:w="0" w:type="dxa"/>
          <w:left w:w="0" w:type="dxa"/>
          <w:bottom w:w="28" w:type="dxa"/>
          <w:right w:w="0" w:type="dxa"/>
        </w:tblCellMar>
      </w:tblPr>
      <w:tblGrid>
        <w:gridCol w:w="3620"/>
        <w:gridCol w:w="60"/>
        <w:gridCol w:w="2210"/>
        <w:gridCol w:w="60"/>
        <w:gridCol w:w="2765"/>
      </w:tblGrid>
      <w:tr>
        <w:trPr/>
        <w:tc>
          <w:tcPr>
            <w:tcW w:w="3620" w:type="dxa"/>
            <w:tcBorders>
              <w:bottom w:val="single" w:sz="12" w:space="0" w:color="000000"/>
            </w:tcBorders>
            <w:vAlign w:val="center"/>
          </w:tcPr>
          <w:p>
            <w:pPr>
              <w:pStyle w:val="TableContents"/>
              <w:bidi w:val="0"/>
              <w:spacing w:lineRule="auto" w:line="300" w:before="0" w:after="0"/>
              <w:jc w:val="center"/>
              <w:rPr>
                <w:rFonts w:ascii="Times New Roman;Times;serif" w:hAnsi="Times New Roman;Times;serif"/>
                <w:b w:val="false"/>
                <w:sz w:val="20"/>
              </w:rPr>
            </w:pPr>
            <w:r>
              <w:rPr>
                <w:rFonts w:ascii="Times New Roman;Times;serif" w:hAnsi="Times New Roman;Times;serif"/>
                <w:b w:val="false"/>
                <w:sz w:val="20"/>
              </w:rPr>
              <w:t>Israel</w:t>
            </w:r>
          </w:p>
        </w:tc>
        <w:tc>
          <w:tcPr>
            <w:tcW w:w="60" w:type="dxa"/>
            <w:tcBorders/>
            <w:tcMar>
              <w:bottom w:w="0" w:type="dxa"/>
            </w:tcMar>
            <w:vAlign w:val="center"/>
          </w:tcPr>
          <w:p>
            <w:pPr>
              <w:pStyle w:val="TableContents"/>
              <w:bidi w:val="0"/>
              <w:spacing w:before="0" w:after="283"/>
              <w:jc w:val="left"/>
              <w:rPr/>
            </w:pPr>
            <w:r>
              <w:rPr/>
              <w:t> </w:t>
            </w:r>
          </w:p>
        </w:tc>
        <w:tc>
          <w:tcPr>
            <w:tcW w:w="2210" w:type="dxa"/>
            <w:tcBorders>
              <w:bottom w:val="single" w:sz="12" w:space="0" w:color="000000"/>
            </w:tcBorders>
            <w:vAlign w:val="center"/>
          </w:tcPr>
          <w:p>
            <w:pPr>
              <w:pStyle w:val="TableContents"/>
              <w:bidi w:val="0"/>
              <w:spacing w:lineRule="auto" w:line="300" w:before="0" w:after="0"/>
              <w:jc w:val="center"/>
              <w:rPr>
                <w:rFonts w:ascii="Times New Roman;Times;serif" w:hAnsi="Times New Roman;Times;serif"/>
                <w:b w:val="false"/>
                <w:sz w:val="20"/>
              </w:rPr>
            </w:pPr>
            <w:r>
              <w:rPr>
                <w:rFonts w:ascii="Times New Roman;Times;serif" w:hAnsi="Times New Roman;Times;serif"/>
                <w:b w:val="false"/>
                <w:sz w:val="20"/>
              </w:rPr>
              <w:t>001-36612</w:t>
            </w:r>
          </w:p>
        </w:tc>
        <w:tc>
          <w:tcPr>
            <w:tcW w:w="60" w:type="dxa"/>
            <w:tcBorders/>
            <w:tcMar>
              <w:bottom w:w="0" w:type="dxa"/>
            </w:tcMar>
            <w:vAlign w:val="center"/>
          </w:tcPr>
          <w:p>
            <w:pPr>
              <w:pStyle w:val="TableContents"/>
              <w:bidi w:val="0"/>
              <w:spacing w:before="0" w:after="283"/>
              <w:jc w:val="left"/>
              <w:rPr/>
            </w:pPr>
            <w:r>
              <w:rPr/>
              <w:t> </w:t>
            </w:r>
          </w:p>
        </w:tc>
        <w:tc>
          <w:tcPr>
            <w:tcW w:w="2765" w:type="dxa"/>
            <w:tcBorders>
              <w:bottom w:val="single" w:sz="12" w:space="0" w:color="000000"/>
            </w:tcBorders>
            <w:vAlign w:val="center"/>
          </w:tcPr>
          <w:p>
            <w:pPr>
              <w:pStyle w:val="TableContents"/>
              <w:bidi w:val="0"/>
              <w:spacing w:lineRule="auto" w:line="300" w:before="0" w:after="0"/>
              <w:jc w:val="center"/>
              <w:rPr>
                <w:rFonts w:ascii="Times New Roman;Times;serif" w:hAnsi="Times New Roman;Times;serif"/>
                <w:b w:val="false"/>
                <w:sz w:val="20"/>
              </w:rPr>
            </w:pPr>
            <w:r>
              <w:rPr>
                <w:rFonts w:ascii="Times New Roman;Times;serif" w:hAnsi="Times New Roman;Times;serif"/>
                <w:b w:val="false"/>
                <w:sz w:val="20"/>
              </w:rPr>
              <w:t>Not applicable</w:t>
            </w:r>
          </w:p>
        </w:tc>
      </w:tr>
      <w:tr>
        <w:trPr/>
        <w:tc>
          <w:tcPr>
            <w:tcW w:w="3620" w:type="dxa"/>
            <w:tcBorders/>
            <w:tcMar>
              <w:bottom w:w="0" w:type="dxa"/>
            </w:tcMar>
            <w:vAlign w:val="center"/>
          </w:tcPr>
          <w:p>
            <w:pPr>
              <w:pStyle w:val="TableContents"/>
              <w:bidi w:val="0"/>
              <w:spacing w:lineRule="auto" w:line="300" w:before="0" w:after="0"/>
              <w:jc w:val="center"/>
              <w:rPr>
                <w:rFonts w:ascii="Times New Roman;Times;serif" w:hAnsi="Times New Roman;Times;serif"/>
                <w:b w:val="false"/>
                <w:sz w:val="20"/>
              </w:rPr>
            </w:pPr>
            <w:r>
              <w:rPr>
                <w:rFonts w:ascii="Times New Roman;Times;serif" w:hAnsi="Times New Roman;Times;serif"/>
                <w:b w:val="false"/>
                <w:sz w:val="20"/>
              </w:rPr>
              <w:t>(State or Other Jurisdiction of Incorporation)</w:t>
            </w:r>
          </w:p>
        </w:tc>
        <w:tc>
          <w:tcPr>
            <w:tcW w:w="60" w:type="dxa"/>
            <w:tcBorders/>
            <w:tcMar>
              <w:bottom w:w="0" w:type="dxa"/>
            </w:tcMar>
            <w:vAlign w:val="center"/>
          </w:tcPr>
          <w:p>
            <w:pPr>
              <w:pStyle w:val="TableContents"/>
              <w:bidi w:val="0"/>
              <w:spacing w:before="0" w:after="283"/>
              <w:jc w:val="left"/>
              <w:rPr/>
            </w:pPr>
            <w:r>
              <w:rPr/>
              <w:t> </w:t>
            </w:r>
          </w:p>
        </w:tc>
        <w:tc>
          <w:tcPr>
            <w:tcW w:w="2210" w:type="dxa"/>
            <w:tcBorders/>
            <w:tcMar>
              <w:bottom w:w="0" w:type="dxa"/>
            </w:tcMar>
            <w:vAlign w:val="center"/>
          </w:tcPr>
          <w:p>
            <w:pPr>
              <w:pStyle w:val="TableContents"/>
              <w:bidi w:val="0"/>
              <w:spacing w:lineRule="auto" w:line="300" w:before="0" w:after="0"/>
              <w:jc w:val="center"/>
              <w:rPr>
                <w:rFonts w:ascii="Times New Roman;Times;serif" w:hAnsi="Times New Roman;Times;serif"/>
                <w:b w:val="false"/>
                <w:sz w:val="20"/>
              </w:rPr>
            </w:pPr>
            <w:r>
              <w:rPr>
                <w:rFonts w:ascii="Times New Roman;Times;serif" w:hAnsi="Times New Roman;Times;serif"/>
                <w:b w:val="false"/>
                <w:sz w:val="20"/>
              </w:rPr>
              <w:t>(Commission File Number)</w:t>
            </w:r>
          </w:p>
        </w:tc>
        <w:tc>
          <w:tcPr>
            <w:tcW w:w="60" w:type="dxa"/>
            <w:tcBorders/>
            <w:tcMar>
              <w:bottom w:w="0" w:type="dxa"/>
            </w:tcMar>
            <w:vAlign w:val="center"/>
          </w:tcPr>
          <w:p>
            <w:pPr>
              <w:pStyle w:val="TableContents"/>
              <w:bidi w:val="0"/>
              <w:spacing w:before="0" w:after="283"/>
              <w:jc w:val="left"/>
              <w:rPr/>
            </w:pPr>
            <w:r>
              <w:rPr/>
              <w:t> </w:t>
            </w:r>
          </w:p>
        </w:tc>
        <w:tc>
          <w:tcPr>
            <w:tcW w:w="2765" w:type="dxa"/>
            <w:tcBorders/>
            <w:tcMar>
              <w:bottom w:w="0" w:type="dxa"/>
            </w:tcMar>
            <w:vAlign w:val="center"/>
          </w:tcPr>
          <w:p>
            <w:pPr>
              <w:pStyle w:val="TableContents"/>
              <w:bidi w:val="0"/>
              <w:spacing w:lineRule="auto" w:line="300" w:before="0" w:after="0"/>
              <w:jc w:val="center"/>
              <w:rPr>
                <w:rFonts w:ascii="Times New Roman;Times;serif" w:hAnsi="Times New Roman;Times;serif"/>
                <w:b w:val="false"/>
                <w:sz w:val="20"/>
              </w:rPr>
            </w:pPr>
            <w:r>
              <w:rPr>
                <w:rFonts w:ascii="Times New Roman;Times;serif" w:hAnsi="Times New Roman;Times;serif"/>
                <w:b w:val="false"/>
                <w:sz w:val="20"/>
              </w:rPr>
              <w:t>(IRS Employer Identification No.)</w:t>
            </w:r>
          </w:p>
        </w:tc>
      </w:tr>
    </w:tbl>
    <w:p>
      <w:pPr>
        <w:pStyle w:val="TextBody"/>
        <w:bidi w:val="0"/>
        <w:spacing w:before="0" w:after="0"/>
        <w:jc w:val="left"/>
        <w:rPr/>
      </w:pPr>
      <w:r>
        <w:rPr/>
      </w:r>
    </w:p>
    <w:tbl>
      <w:tblPr>
        <w:tblW w:w="4165" w:type="dxa"/>
        <w:jc w:val="left"/>
        <w:tblInd w:w="0" w:type="dxa"/>
        <w:tblLayout w:type="fixed"/>
        <w:tblCellMar>
          <w:top w:w="0" w:type="dxa"/>
          <w:left w:w="0" w:type="dxa"/>
          <w:bottom w:w="28" w:type="dxa"/>
          <w:right w:w="0" w:type="dxa"/>
        </w:tblCellMar>
      </w:tblPr>
      <w:tblGrid>
        <w:gridCol w:w="3200"/>
        <w:gridCol w:w="60"/>
        <w:gridCol w:w="905"/>
      </w:tblGrid>
      <w:tr>
        <w:trPr/>
        <w:tc>
          <w:tcPr>
            <w:tcW w:w="3200" w:type="dxa"/>
            <w:tcBorders>
              <w:bottom w:val="single" w:sz="12" w:space="0" w:color="000000"/>
            </w:tcBorders>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val="false"/>
                <w:sz w:val="20"/>
              </w:rPr>
              <w:t>2 Cabot Rd., Hudson, MA</w:t>
            </w:r>
            <w:r>
              <w:rPr>
                <w:rFonts w:ascii="Times New Roman;Times;serif" w:hAnsi="Times New Roman;Times;serif"/>
                <w:b/>
                <w:sz w:val="20"/>
              </w:rPr>
              <w:t xml:space="preserve"> </w:t>
            </w:r>
          </w:p>
        </w:tc>
        <w:tc>
          <w:tcPr>
            <w:tcW w:w="60" w:type="dxa"/>
            <w:tcBorders/>
            <w:tcMar>
              <w:bottom w:w="0" w:type="dxa"/>
            </w:tcMar>
            <w:vAlign w:val="center"/>
          </w:tcPr>
          <w:p>
            <w:pPr>
              <w:pStyle w:val="TableContents"/>
              <w:bidi w:val="0"/>
              <w:spacing w:lineRule="auto" w:line="300" w:before="0" w:after="0"/>
              <w:jc w:val="center"/>
              <w:rPr/>
            </w:pPr>
            <w:r>
              <w:rPr/>
              <w:t> </w:t>
            </w:r>
          </w:p>
        </w:tc>
        <w:tc>
          <w:tcPr>
            <w:tcW w:w="905" w:type="dxa"/>
            <w:tcBorders>
              <w:bottom w:val="single" w:sz="12" w:space="0" w:color="000000"/>
            </w:tcBorders>
            <w:vAlign w:val="center"/>
          </w:tcPr>
          <w:p>
            <w:pPr>
              <w:pStyle w:val="TableContents"/>
              <w:bidi w:val="0"/>
              <w:spacing w:lineRule="auto" w:line="300" w:before="0" w:after="0"/>
              <w:jc w:val="center"/>
              <w:rPr>
                <w:rFonts w:ascii="Times New Roman;Times;serif" w:hAnsi="Times New Roman;Times;serif"/>
                <w:b w:val="false"/>
                <w:sz w:val="20"/>
              </w:rPr>
            </w:pPr>
            <w:r>
              <w:rPr>
                <w:rFonts w:ascii="Times New Roman;Times;serif" w:hAnsi="Times New Roman;Times;serif"/>
                <w:b w:val="false"/>
                <w:sz w:val="20"/>
              </w:rPr>
              <w:t>01749</w:t>
            </w:r>
          </w:p>
        </w:tc>
      </w:tr>
      <w:tr>
        <w:trPr/>
        <w:tc>
          <w:tcPr>
            <w:tcW w:w="3200" w:type="dxa"/>
            <w:tcBorders/>
            <w:tcMar>
              <w:bottom w:w="0" w:type="dxa"/>
            </w:tcMar>
            <w:vAlign w:val="center"/>
          </w:tcPr>
          <w:p>
            <w:pPr>
              <w:pStyle w:val="TableContents"/>
              <w:bidi w:val="0"/>
              <w:spacing w:lineRule="auto" w:line="300" w:before="0" w:after="0"/>
              <w:jc w:val="center"/>
              <w:rPr>
                <w:rFonts w:ascii="Times New Roman;Times;serif" w:hAnsi="Times New Roman;Times;serif"/>
                <w:b w:val="false"/>
                <w:sz w:val="20"/>
              </w:rPr>
            </w:pPr>
            <w:r>
              <w:rPr>
                <w:rFonts w:ascii="Times New Roman;Times;serif" w:hAnsi="Times New Roman;Times;serif"/>
                <w:b w:val="false"/>
                <w:sz w:val="20"/>
              </w:rPr>
              <w:t>(Address of principal executive offices)</w:t>
            </w:r>
          </w:p>
        </w:tc>
        <w:tc>
          <w:tcPr>
            <w:tcW w:w="60" w:type="dxa"/>
            <w:tcBorders/>
            <w:tcMar>
              <w:bottom w:w="0" w:type="dxa"/>
            </w:tcMar>
            <w:vAlign w:val="center"/>
          </w:tcPr>
          <w:p>
            <w:pPr>
              <w:pStyle w:val="TableContents"/>
              <w:bidi w:val="0"/>
              <w:spacing w:lineRule="auto" w:line="300" w:before="0" w:after="0"/>
              <w:jc w:val="center"/>
              <w:rPr/>
            </w:pPr>
            <w:r>
              <w:rPr/>
              <w:t> </w:t>
            </w:r>
          </w:p>
        </w:tc>
        <w:tc>
          <w:tcPr>
            <w:tcW w:w="905" w:type="dxa"/>
            <w:tcBorders/>
            <w:tcMar>
              <w:bottom w:w="0" w:type="dxa"/>
            </w:tcMar>
            <w:vAlign w:val="center"/>
          </w:tcPr>
          <w:p>
            <w:pPr>
              <w:pStyle w:val="TableContents"/>
              <w:bidi w:val="0"/>
              <w:spacing w:lineRule="auto" w:line="300" w:before="0" w:after="0"/>
              <w:jc w:val="center"/>
              <w:rPr>
                <w:rFonts w:ascii="Times New Roman;Times;serif" w:hAnsi="Times New Roman;Times;serif"/>
                <w:b w:val="false"/>
                <w:sz w:val="20"/>
              </w:rPr>
            </w:pPr>
            <w:r>
              <w:rPr>
                <w:rFonts w:ascii="Times New Roman;Times;serif" w:hAnsi="Times New Roman;Times;serif"/>
                <w:b w:val="false"/>
                <w:sz w:val="20"/>
              </w:rPr>
              <w:t>(Zip Code)</w:t>
            </w:r>
          </w:p>
        </w:tc>
      </w:tr>
    </w:tbl>
    <w:p>
      <w:pPr>
        <w:pStyle w:val="TextBody"/>
        <w:bidi w:val="0"/>
        <w:spacing w:lineRule="auto" w:line="300" w:before="0" w:after="0"/>
        <w:ind w:left="0" w:right="0" w:firstLine="720"/>
        <w:jc w:val="center"/>
        <w:rPr>
          <w:color w:val="000000"/>
          <w:shd w:fill="FFFFFF" w:val="clear"/>
        </w:rPr>
      </w:pPr>
      <w:r>
        <w:rPr>
          <w:color w:val="000000"/>
          <w:shd w:fill="FFFFFF" w:val="clear"/>
        </w:rPr>
        <w:t> </w:t>
      </w:r>
    </w:p>
    <w:p>
      <w:pPr>
        <w:pStyle w:val="TextBody"/>
        <w:bidi w:val="0"/>
        <w:spacing w:lineRule="auto" w:line="300" w:before="0" w:after="0"/>
        <w:jc w:val="center"/>
        <w:rPr>
          <w:rFonts w:ascii="Times New Roman;Times;serif" w:hAnsi="Times New Roman;Times;serif"/>
          <w:b/>
          <w:color w:val="000000"/>
          <w:sz w:val="20"/>
          <w:shd w:fill="FFFFFF" w:val="clear"/>
        </w:rPr>
      </w:pPr>
      <w:r>
        <w:rPr>
          <w:rFonts w:ascii="Times New Roman;Times;serif" w:hAnsi="Times New Roman;Times;serif"/>
          <w:b w:val="false"/>
          <w:color w:val="000000"/>
          <w:sz w:val="20"/>
          <w:shd w:fill="FFFFFF" w:val="clear"/>
        </w:rPr>
        <w:t xml:space="preserve">Registrant’s telephone number, including area code: </w:t>
      </w:r>
      <w:r>
        <w:rPr>
          <w:rFonts w:ascii="Times New Roman;Times;serif" w:hAnsi="Times New Roman;Times;serif"/>
          <w:b w:val="false"/>
          <w:color w:val="000000"/>
          <w:sz w:val="20"/>
          <w:u w:val="single"/>
          <w:shd w:fill="FFFFFF" w:val="clear"/>
        </w:rPr>
        <w:t>+508.251.1154</w:t>
      </w:r>
      <w:r>
        <w:rPr>
          <w:rFonts w:ascii="Times New Roman;Times;serif" w:hAnsi="Times New Roman;Times;serif"/>
          <w:b/>
          <w:color w:val="000000"/>
          <w:sz w:val="20"/>
          <w:u w:val="single"/>
          <w:shd w:fill="FFFFFF" w:val="clear"/>
        </w:rPr>
        <w:t xml:space="preserve"> </w:t>
      </w:r>
    </w:p>
    <w:p>
      <w:pPr>
        <w:pStyle w:val="TextBody"/>
        <w:bidi w:val="0"/>
        <w:spacing w:before="0" w:after="0"/>
        <w:jc w:val="left"/>
        <w:rPr/>
      </w:pPr>
      <w:r>
        <w:rPr/>
      </w:r>
    </w:p>
    <w:tbl>
      <w:tblPr>
        <w:tblW w:w="1460" w:type="dxa"/>
        <w:jc w:val="center"/>
        <w:tblInd w:w="0" w:type="dxa"/>
        <w:tblLayout w:type="fixed"/>
        <w:tblCellMar>
          <w:top w:w="0" w:type="dxa"/>
          <w:left w:w="0" w:type="dxa"/>
          <w:bottom w:w="28" w:type="dxa"/>
          <w:right w:w="0" w:type="dxa"/>
        </w:tblCellMar>
      </w:tblPr>
      <w:tblGrid>
        <w:gridCol w:w="1460"/>
      </w:tblGrid>
      <w:tr>
        <w:trPr/>
        <w:tc>
          <w:tcPr>
            <w:tcW w:w="1460" w:type="dxa"/>
            <w:tcBorders>
              <w:bottom w:val="single" w:sz="12" w:space="0" w:color="000000"/>
            </w:tcBorders>
            <w:vAlign w:val="center"/>
          </w:tcPr>
          <w:p>
            <w:pPr>
              <w:pStyle w:val="TableContents"/>
              <w:bidi w:val="0"/>
              <w:spacing w:before="0" w:after="0"/>
              <w:jc w:val="center"/>
              <w:rPr>
                <w:b w:val="false"/>
              </w:rPr>
            </w:pPr>
            <w:r>
              <w:rPr>
                <w:b w:val="false"/>
              </w:rPr>
              <w:t xml:space="preserve">Not applicable </w:t>
            </w:r>
          </w:p>
        </w:tc>
      </w:tr>
    </w:tbl>
    <w:p>
      <w:pPr>
        <w:pStyle w:val="TextBody"/>
        <w:bidi w:val="0"/>
        <w:spacing w:lineRule="auto" w:line="300" w:before="0" w:after="0"/>
        <w:jc w:val="center"/>
        <w:rPr>
          <w:rFonts w:ascii="Times New Roman;Times;serif" w:hAnsi="Times New Roman;Times;serif"/>
          <w:b w:val="false"/>
          <w:color w:val="000000"/>
          <w:sz w:val="20"/>
          <w:shd w:fill="FFFFFF" w:val="clear"/>
        </w:rPr>
      </w:pPr>
      <w:r>
        <w:rPr>
          <w:rFonts w:ascii="Times New Roman;Times;serif" w:hAnsi="Times New Roman;Times;serif"/>
          <w:b w:val="false"/>
          <w:color w:val="000000"/>
          <w:sz w:val="20"/>
          <w:shd w:fill="FFFFFF" w:val="clear"/>
        </w:rPr>
        <w:t>(Former name or former address, if changed since last report)</w:t>
      </w:r>
    </w:p>
    <w:p>
      <w:pPr>
        <w:pStyle w:val="TextBody"/>
        <w:bidi w:val="0"/>
        <w:spacing w:lineRule="auto" w:line="300" w:before="0" w:after="0"/>
        <w:jc w:val="left"/>
        <w:rPr/>
      </w:pPr>
      <w:r>
        <w:rPr/>
      </w:r>
    </w:p>
    <w:tbl>
      <w:tblPr>
        <w:tblW w:w="8070" w:type="dxa"/>
        <w:jc w:val="left"/>
        <w:tblInd w:w="0" w:type="dxa"/>
        <w:tblLayout w:type="fixed"/>
        <w:tblCellMar>
          <w:top w:w="0" w:type="dxa"/>
          <w:left w:w="0" w:type="dxa"/>
          <w:bottom w:w="28" w:type="dxa"/>
          <w:right w:w="0" w:type="dxa"/>
        </w:tblCellMar>
      </w:tblPr>
      <w:tblGrid>
        <w:gridCol w:w="2840"/>
        <w:gridCol w:w="60"/>
        <w:gridCol w:w="1415"/>
        <w:gridCol w:w="60"/>
        <w:gridCol w:w="3695"/>
      </w:tblGrid>
      <w:tr>
        <w:trPr/>
        <w:tc>
          <w:tcPr>
            <w:tcW w:w="2840" w:type="dxa"/>
            <w:tcBorders>
              <w:bottom w:val="single" w:sz="12" w:space="0" w:color="000000"/>
            </w:tcBorders>
            <w:vAlign w:val="center"/>
          </w:tcPr>
          <w:p>
            <w:pPr>
              <w:pStyle w:val="TableContents"/>
              <w:bidi w:val="0"/>
              <w:spacing w:lineRule="auto" w:line="300" w:before="0" w:after="0"/>
              <w:jc w:val="center"/>
              <w:rPr>
                <w:rFonts w:ascii="Times New Roman;serif" w:hAnsi="Times New Roman;serif"/>
                <w:b/>
                <w:color w:val="000000"/>
                <w:sz w:val="20"/>
              </w:rPr>
            </w:pPr>
            <w:r>
              <w:rPr>
                <w:rFonts w:ascii="Times New Roman;serif" w:hAnsi="Times New Roman;serif"/>
                <w:b/>
                <w:color w:val="000000"/>
                <w:sz w:val="20"/>
              </w:rPr>
              <w:t>Securities registered pursuant to</w:t>
              <w:br/>
              <w:t>Section 12(b) of the Exchange Act</w:t>
            </w:r>
          </w:p>
        </w:tc>
        <w:tc>
          <w:tcPr>
            <w:tcW w:w="60" w:type="dxa"/>
            <w:tcBorders/>
            <w:tcMar>
              <w:bottom w:w="0" w:type="dxa"/>
            </w:tcMar>
            <w:vAlign w:val="center"/>
          </w:tcPr>
          <w:p>
            <w:pPr>
              <w:pStyle w:val="TableContents"/>
              <w:bidi w:val="0"/>
              <w:spacing w:lineRule="auto" w:line="300" w:before="0" w:after="0"/>
              <w:jc w:val="center"/>
              <w:rPr/>
            </w:pPr>
            <w:r>
              <w:rPr/>
              <w:t> </w:t>
            </w:r>
          </w:p>
        </w:tc>
        <w:tc>
          <w:tcPr>
            <w:tcW w:w="1415" w:type="dxa"/>
            <w:tcBorders>
              <w:bottom w:val="single" w:sz="12" w:space="0" w:color="000000"/>
            </w:tcBorders>
            <w:vAlign w:val="center"/>
          </w:tcPr>
          <w:p>
            <w:pPr>
              <w:pStyle w:val="TableContents"/>
              <w:bidi w:val="0"/>
              <w:spacing w:lineRule="auto" w:line="300" w:before="0" w:after="0"/>
              <w:jc w:val="center"/>
              <w:rPr>
                <w:rFonts w:ascii="Times New Roman;serif" w:hAnsi="Times New Roman;serif"/>
                <w:b/>
                <w:color w:val="000000"/>
                <w:sz w:val="20"/>
              </w:rPr>
            </w:pPr>
            <w:r>
              <w:rPr>
                <w:rFonts w:ascii="Times New Roman;serif" w:hAnsi="Times New Roman;serif"/>
                <w:b/>
                <w:color w:val="000000"/>
                <w:sz w:val="20"/>
              </w:rPr>
              <w:t>Trading Symbol</w:t>
            </w:r>
          </w:p>
        </w:tc>
        <w:tc>
          <w:tcPr>
            <w:tcW w:w="60" w:type="dxa"/>
            <w:tcBorders/>
            <w:tcMar>
              <w:bottom w:w="0" w:type="dxa"/>
            </w:tcMar>
            <w:vAlign w:val="center"/>
          </w:tcPr>
          <w:p>
            <w:pPr>
              <w:pStyle w:val="TableContents"/>
              <w:bidi w:val="0"/>
              <w:spacing w:lineRule="auto" w:line="300" w:before="0" w:after="0"/>
              <w:jc w:val="center"/>
              <w:rPr/>
            </w:pPr>
            <w:r>
              <w:rPr/>
              <w:t> </w:t>
            </w:r>
          </w:p>
        </w:tc>
        <w:tc>
          <w:tcPr>
            <w:tcW w:w="3695" w:type="dxa"/>
            <w:tcBorders>
              <w:bottom w:val="single" w:sz="12" w:space="0" w:color="000000"/>
            </w:tcBorders>
            <w:vAlign w:val="center"/>
          </w:tcPr>
          <w:p>
            <w:pPr>
              <w:pStyle w:val="TableContents"/>
              <w:bidi w:val="0"/>
              <w:spacing w:lineRule="auto" w:line="300" w:before="0" w:after="0"/>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2840" w:type="dxa"/>
            <w:tcBorders/>
            <w:shd w:fill="CCEEFF" w:val="clear"/>
            <w:tcMar>
              <w:bottom w:w="0" w:type="dxa"/>
            </w:tcM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 xml:space="preserve">Ordinary shares, no par value  </w:t>
            </w:r>
          </w:p>
        </w:tc>
        <w:tc>
          <w:tcPr>
            <w:tcW w:w="60" w:type="dxa"/>
            <w:tcBorders/>
            <w:shd w:fill="CCEEFF" w:val="clear"/>
            <w:tcMar>
              <w:bottom w:w="0" w:type="dxa"/>
            </w:tcMar>
            <w:vAlign w:val="center"/>
          </w:tcPr>
          <w:p>
            <w:pPr>
              <w:pStyle w:val="TableContents"/>
              <w:bidi w:val="0"/>
              <w:spacing w:lineRule="auto" w:line="300" w:before="0" w:after="0"/>
              <w:jc w:val="both"/>
              <w:rPr/>
            </w:pPr>
            <w:r>
              <w:rPr/>
              <w:t> </w:t>
            </w:r>
          </w:p>
        </w:tc>
        <w:tc>
          <w:tcPr>
            <w:tcW w:w="1415" w:type="dxa"/>
            <w:tcBorders/>
            <w:shd w:fill="CCEEFF" w:val="clear"/>
            <w:tcMar>
              <w:bottom w:w="0" w:type="dxa"/>
            </w:tcM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LFWD</w:t>
            </w:r>
          </w:p>
        </w:tc>
        <w:tc>
          <w:tcPr>
            <w:tcW w:w="60" w:type="dxa"/>
            <w:tcBorders/>
            <w:shd w:fill="CCEEFF" w:val="clear"/>
            <w:tcMar>
              <w:bottom w:w="0" w:type="dxa"/>
            </w:tcMar>
            <w:vAlign w:val="center"/>
          </w:tcPr>
          <w:p>
            <w:pPr>
              <w:pStyle w:val="TableContents"/>
              <w:bidi w:val="0"/>
              <w:spacing w:lineRule="auto" w:line="300" w:before="0" w:after="0"/>
              <w:jc w:val="both"/>
              <w:rPr/>
            </w:pPr>
            <w:r>
              <w:rPr/>
              <w:t> </w:t>
            </w:r>
          </w:p>
        </w:tc>
        <w:tc>
          <w:tcPr>
            <w:tcW w:w="3695" w:type="dxa"/>
            <w:tcBorders/>
            <w:shd w:fill="CCEEFF" w:val="clear"/>
            <w:tcMar>
              <w:bottom w:w="0" w:type="dxa"/>
            </w:tcM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Nasdaq Capital Market</w:t>
            </w:r>
          </w:p>
        </w:tc>
      </w:tr>
    </w:tbl>
    <w:p>
      <w:pPr>
        <w:pStyle w:val="TextBody"/>
        <w:bidi w:val="0"/>
        <w:spacing w:lineRule="auto" w:line="300" w:before="0" w:after="0"/>
        <w:jc w:val="left"/>
        <w:rPr/>
      </w:pPr>
      <w:r>
        <w:rPr/>
      </w:r>
    </w:p>
    <w:p>
      <w:pPr>
        <w:pStyle w:val="TextBody"/>
        <w:bidi w:val="0"/>
        <w:spacing w:lineRule="auto" w:line="300" w:before="0" w:after="0"/>
        <w:jc w:val="both"/>
        <w:rPr>
          <w:rFonts w:ascii="Times New Roman;Times;serif" w:hAnsi="Times New Roman;Times;serif"/>
          <w:b w:val="false"/>
          <w:color w:val="000000"/>
          <w:sz w:val="20"/>
          <w:shd w:fill="FFFFFF" w:val="clear"/>
        </w:rPr>
      </w:pPr>
      <w:r>
        <w:rPr>
          <w:rFonts w:ascii="Times New Roman;Times;serif" w:hAnsi="Times New Roman;Times;serif"/>
          <w:b w:val="false"/>
          <w:color w:val="000000"/>
          <w:sz w:val="20"/>
          <w:shd w:fill="FFFFFF" w:val="clear"/>
        </w:rPr>
        <w:t>Check the appropriate box below if the Form 8-K filing is intended to simultaneously satisfy the filing obligation of the registrant under any of the following provisions (</w:t>
      </w:r>
      <w:r>
        <w:rPr>
          <w:rFonts w:ascii="Times New Roman;Times;serif" w:hAnsi="Times New Roman;Times;serif"/>
          <w:b w:val="false"/>
          <w:i/>
          <w:color w:val="000000"/>
          <w:sz w:val="20"/>
          <w:shd w:fill="FFFFFF" w:val="clear"/>
        </w:rPr>
        <w:t>see </w:t>
      </w:r>
      <w:r>
        <w:rPr>
          <w:rFonts w:ascii="Times New Roman;Times;serif" w:hAnsi="Times New Roman;Times;serif"/>
          <w:b w:val="false"/>
          <w:color w:val="000000"/>
          <w:sz w:val="20"/>
          <w:shd w:fill="FFFFFF" w:val="clear"/>
        </w:rPr>
        <w:t>General Instruction A.2. below):</w:t>
      </w:r>
    </w:p>
    <w:p>
      <w:pPr>
        <w:pStyle w:val="TextBody"/>
        <w:bidi w:val="0"/>
        <w:spacing w:lineRule="auto" w:line="300" w:before="0" w:after="0"/>
        <w:jc w:val="both"/>
        <w:rPr/>
      </w:pPr>
      <w:r>
        <w:rPr/>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lineRule="auto" w:line="300" w:before="0" w:after="0"/>
              <w:jc w:val="left"/>
              <w:rPr/>
            </w:pPr>
            <w:r>
              <w:rPr/>
              <w:t>☐</w:t>
            </w:r>
          </w:p>
        </w:tc>
        <w:tc>
          <w:tcPr>
            <w:tcW w:w="729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bl>
    <w:p>
      <w:pPr>
        <w:pStyle w:val="TextBody"/>
        <w:bidi w:val="0"/>
        <w:spacing w:lineRule="auto" w:line="300" w:before="0" w:after="0"/>
        <w:ind w:left="0" w:right="0" w:firstLine="720"/>
        <w:jc w:val="both"/>
        <w:rPr>
          <w:color w:val="000000"/>
          <w:shd w:fill="FFFFFF" w:val="clear"/>
        </w:rPr>
      </w:pPr>
      <w:r>
        <w:rPr>
          <w:color w:val="000000"/>
          <w:shd w:fill="FFFFFF" w:val="clea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bl>
    <w:p>
      <w:pPr>
        <w:pStyle w:val="TextBody"/>
        <w:bidi w:val="0"/>
        <w:spacing w:lineRule="auto" w:line="300" w:before="0" w:after="0"/>
        <w:ind w:left="0" w:right="0" w:firstLine="720"/>
        <w:jc w:val="both"/>
        <w:rPr>
          <w:color w:val="000000"/>
          <w:shd w:fill="FFFFFF" w:val="clear"/>
        </w:rPr>
      </w:pPr>
      <w:r>
        <w:rPr>
          <w:color w:val="000000"/>
          <w:shd w:fill="FFFFFF" w:val="clea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lineRule="auto" w:line="300" w:before="0" w:after="0"/>
              <w:jc w:val="left"/>
              <w:rPr/>
            </w:pPr>
            <w:r>
              <w:rPr/>
              <w:t>☐</w:t>
            </w:r>
          </w:p>
        </w:tc>
        <w:tc>
          <w:tcPr>
            <w:tcW w:w="906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w:t>
            </w:r>
          </w:p>
        </w:tc>
      </w:tr>
    </w:tbl>
    <w:p>
      <w:pPr>
        <w:pStyle w:val="TextBody"/>
        <w:bidi w:val="0"/>
        <w:spacing w:lineRule="auto" w:line="300" w:before="0" w:after="0"/>
        <w:ind w:left="0" w:right="0" w:firstLine="720"/>
        <w:jc w:val="both"/>
        <w:rPr>
          <w:color w:val="000000"/>
          <w:shd w:fill="FFFFFF" w:val="clear"/>
        </w:rPr>
      </w:pPr>
      <w:r>
        <w:rPr>
          <w:color w:val="000000"/>
          <w:shd w:fill="FFFFFF" w:val="clea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lineRule="auto" w:line="300" w:before="0" w:after="0"/>
              <w:jc w:val="left"/>
              <w:rPr/>
            </w:pPr>
            <w:r>
              <w:rPr/>
              <w:t>☐</w:t>
            </w:r>
          </w:p>
        </w:tc>
        <w:tc>
          <w:tcPr>
            <w:tcW w:w="900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w:t>
            </w:r>
          </w:p>
        </w:tc>
      </w:tr>
    </w:tbl>
    <w:p>
      <w:pPr>
        <w:pStyle w:val="TextBody"/>
        <w:bidi w:val="0"/>
        <w:spacing w:lineRule="auto" w:line="300" w:before="0" w:after="0"/>
        <w:jc w:val="both"/>
        <w:rPr/>
      </w:pPr>
      <w:r>
        <w:rPr/>
      </w:r>
    </w:p>
    <w:p>
      <w:pPr>
        <w:pStyle w:val="TextBody"/>
        <w:bidi w:val="0"/>
        <w:spacing w:lineRule="auto" w:line="300"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300" w:before="0" w:after="0"/>
        <w:jc w:val="left"/>
        <w:rPr>
          <w:rFonts w:ascii="Times New Roman;Times;serif" w:hAnsi="Times New Roman;Times;serif"/>
          <w:sz w:val="20"/>
        </w:rPr>
      </w:pPr>
      <w:r>
        <w:rPr>
          <w:rFonts w:ascii="Times New Roman;Times;serif" w:hAnsi="Times New Roman;Times;serif"/>
          <w:sz w:val="20"/>
        </w:rPr>
      </w:r>
    </w:p>
    <w:p>
      <w:pPr>
        <w:pStyle w:val="TextBody"/>
        <w:bidi w:val="0"/>
        <w:spacing w:lineRule="auto" w:line="300" w:before="0" w:after="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Emerging growth company ☐</w:t>
      </w:r>
    </w:p>
    <w:p>
      <w:pPr>
        <w:pStyle w:val="TextBody"/>
        <w:bidi w:val="0"/>
        <w:spacing w:lineRule="auto" w:line="300" w:before="0" w:after="0"/>
        <w:ind w:left="0" w:right="0" w:firstLine="720"/>
        <w:jc w:val="left"/>
        <w:rPr>
          <w:color w:val="000000"/>
          <w:shd w:fill="FFFFFF" w:val="clear"/>
        </w:rPr>
      </w:pPr>
      <w:r>
        <w:rPr>
          <w:color w:val="000000"/>
          <w:shd w:fill="FFFFFF" w:val="clear"/>
        </w:rPr>
        <w:t> </w:t>
      </w:r>
    </w:p>
    <w:p>
      <w:pPr>
        <w:pStyle w:val="TextBody"/>
        <w:bidi w:val="0"/>
        <w:spacing w:lineRule="auto" w:line="300"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300" w:before="0" w:after="0"/>
        <w:jc w:val="left"/>
        <w:rPr>
          <w:color w:val="000000"/>
          <w:shd w:fill="FFFFFF" w:val="clear"/>
        </w:rPr>
      </w:pPr>
      <w:r>
        <w:rPr>
          <w:color w:val="000000"/>
          <w:shd w:fill="FFFFFF" w:val="clear"/>
        </w:rPr>
        <w:t> </w:t>
      </w:r>
    </w:p>
    <w:p>
      <w:pPr>
        <w:pStyle w:val="HorizontalLine"/>
        <w:bidi w:val="0"/>
        <w:spacing w:before="200" w:after="200"/>
        <w:jc w:val="left"/>
        <w:rPr/>
      </w:pPr>
      <w:r>
        <w:rPr/>
      </w:r>
    </w:p>
    <w:p>
      <w:pPr>
        <w:pStyle w:val="TextBody"/>
        <w:bidi w:val="0"/>
        <w:spacing w:lineRule="auto" w:line="300"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Item 1.01. Entry Into a Material Definitive Agreement.</w:t>
      </w:r>
    </w:p>
    <w:p>
      <w:pPr>
        <w:pStyle w:val="TextBody"/>
        <w:bidi w:val="0"/>
        <w:spacing w:lineRule="auto" w:line="300" w:before="0" w:after="0"/>
        <w:jc w:val="left"/>
        <w:rPr/>
      </w:pPr>
      <w:r>
        <w:rPr/>
      </w:r>
    </w:p>
    <w:p>
      <w:pPr>
        <w:pStyle w:val="TextBody"/>
        <w:bidi w:val="0"/>
        <w:spacing w:lineRule="auto" w:line="300" w:before="0" w:after="0"/>
        <w:jc w:val="both"/>
        <w:rPr>
          <w:rFonts w:ascii="Times New Roman;serif" w:hAnsi="Times New Roman;serif"/>
          <w:i/>
          <w:color w:val="000000"/>
          <w:sz w:val="20"/>
          <w:shd w:fill="FFFFFF" w:val="clear"/>
        </w:rPr>
      </w:pPr>
      <w:r>
        <w:rPr>
          <w:rFonts w:ascii="Times New Roman;serif" w:hAnsi="Times New Roman;serif"/>
          <w:i/>
          <w:color w:val="000000"/>
          <w:sz w:val="20"/>
          <w:shd w:fill="FFFFFF" w:val="clear"/>
        </w:rPr>
        <w:t>Amended and Restated Notes, Warrant &amp; Pre-Funded Warrant</w:t>
      </w:r>
    </w:p>
    <w:p>
      <w:pPr>
        <w:pStyle w:val="TextBody"/>
        <w:bidi w:val="0"/>
        <w:spacing w:lineRule="auto" w:line="300" w:before="0" w:after="0"/>
        <w:jc w:val="left"/>
        <w:rPr/>
      </w:pPr>
      <w:r>
        <w:rPr/>
      </w:r>
    </w:p>
    <w:p>
      <w:pPr>
        <w:pStyle w:val="TextBody"/>
        <w:bidi w:val="0"/>
        <w:spacing w:lineRule="auto" w:line="300" w:before="0" w:after="0"/>
        <w:jc w:val="both"/>
        <w:rPr>
          <w:rFonts w:ascii="Times New Roman;serif" w:hAnsi="Times New Roman;serif"/>
          <w:color w:val="000000"/>
          <w:sz w:val="20"/>
          <w:shd w:fill="FFFFFF" w:val="clear"/>
        </w:rPr>
      </w:pPr>
      <w:r>
        <w:rPr>
          <w:rFonts w:ascii="Times New Roman;serif" w:hAnsi="Times New Roman;serif"/>
          <w:color w:val="000000"/>
          <w:sz w:val="20"/>
          <w:shd w:fill="FFFFFF" w:val="clear"/>
        </w:rPr>
        <w:t>As previously disclosed, Lifeward Ltd. (the “Company”) entered into a securities purchase agreement (the “Prior SPA”) with Oramed Pharmaceuticals Inc. (“Oramed”) and certain investors with Oramed, as collateral agent, pursuant to which the Company agreed to issue to the investors senior secured convertible notes convertible into ordinary shares, no par value per share (the “Ordinary Shares”), and accompanying warrants to purchase Ordinary Shares. On June 30, 2026, the Company entered into an Amended and Restated Senior Secured Convertible Note (the “A&amp;R Note”), Amended and Restated Common Warrant (the “A&amp;R Warrant”) and Amended and Restated Pre-Funded Warrant (the “A&amp;R Pre-Funded Warrant”). The A&amp;R Note amends and restates the previously issued note to, among other things, provide for the pari passu treatment of the notes issued in connection with the Securities Purchase Agreement (as defined below), revise certain mandatory redemption provisions and revise certain beneficial ownership limitation provisions. Each of the A&amp;R Warrant and A&amp;R Pre-Funded Warrant amends and restates the previously issued warrant and pre-funded warrant, respectively, to revise the beneficial ownership limitation provisions.</w:t>
      </w:r>
    </w:p>
    <w:p>
      <w:pPr>
        <w:pStyle w:val="TextBody"/>
        <w:bidi w:val="0"/>
        <w:spacing w:lineRule="auto" w:line="300" w:before="0" w:after="0"/>
        <w:jc w:val="left"/>
        <w:rPr/>
      </w:pPr>
      <w:r>
        <w:rPr/>
      </w:r>
    </w:p>
    <w:p>
      <w:pPr>
        <w:pStyle w:val="TextBody"/>
        <w:bidi w:val="0"/>
        <w:spacing w:lineRule="auto" w:line="300" w:before="0" w:after="0"/>
        <w:jc w:val="both"/>
        <w:rPr>
          <w:rFonts w:ascii="Times New Roman;serif" w:hAnsi="Times New Roman;serif"/>
          <w:color w:val="000000"/>
          <w:sz w:val="20"/>
          <w:shd w:fill="FFFFFF" w:val="clear"/>
        </w:rPr>
      </w:pPr>
      <w:r>
        <w:rPr>
          <w:rFonts w:ascii="Times New Roman;serif" w:hAnsi="Times New Roman;serif"/>
          <w:color w:val="000000"/>
          <w:sz w:val="20"/>
          <w:shd w:fill="FFFFFF" w:val="clear"/>
        </w:rPr>
        <w:t>The foregoing descriptions of the A&amp;R Note, A&amp;R Warrant and A&amp;R Pre-Funded Warrant are not complete and are qualified in their entirety by reference to the full text of such documents, the forms of which are filed as Exhibits 4.1, 4.2 and 4.3, respectively, to this Current Report on Form 8-K and are incorporated herein by reference.</w:t>
      </w:r>
    </w:p>
    <w:p>
      <w:pPr>
        <w:pStyle w:val="TextBody"/>
        <w:bidi w:val="0"/>
        <w:spacing w:lineRule="auto" w:line="300" w:before="0" w:after="0"/>
        <w:jc w:val="left"/>
        <w:rPr/>
      </w:pPr>
      <w:r>
        <w:rPr/>
      </w:r>
    </w:p>
    <w:p>
      <w:pPr>
        <w:pStyle w:val="TextBody"/>
        <w:bidi w:val="0"/>
        <w:spacing w:lineRule="auto" w:line="300" w:before="0" w:after="0"/>
        <w:jc w:val="both"/>
        <w:rPr>
          <w:rFonts w:ascii="Times New Roman;serif" w:hAnsi="Times New Roman;serif"/>
          <w:i/>
          <w:color w:val="000000"/>
          <w:sz w:val="20"/>
          <w:shd w:fill="FFFFFF" w:val="clear"/>
        </w:rPr>
      </w:pPr>
      <w:r>
        <w:rPr>
          <w:rFonts w:ascii="Times New Roman;serif" w:hAnsi="Times New Roman;serif"/>
          <w:i/>
          <w:color w:val="000000"/>
          <w:sz w:val="20"/>
          <w:shd w:fill="FFFFFF" w:val="clear"/>
        </w:rPr>
        <w:t>June Securities Purchase Agreement</w:t>
      </w:r>
    </w:p>
    <w:p>
      <w:pPr>
        <w:pStyle w:val="TextBody"/>
        <w:bidi w:val="0"/>
        <w:spacing w:lineRule="auto" w:line="300" w:before="0" w:after="0"/>
        <w:jc w:val="left"/>
        <w:rPr/>
      </w:pPr>
      <w:r>
        <w:rPr/>
      </w:r>
    </w:p>
    <w:p>
      <w:pPr>
        <w:pStyle w:val="TextBody"/>
        <w:bidi w:val="0"/>
        <w:spacing w:lineRule="auto" w:line="300" w:before="0" w:after="0"/>
        <w:jc w:val="both"/>
        <w:rPr>
          <w:rFonts w:ascii="Times New Roman;serif" w:hAnsi="Times New Roman;serif"/>
          <w:color w:val="000000"/>
          <w:sz w:val="20"/>
          <w:shd w:fill="FFFFFF" w:val="clear"/>
        </w:rPr>
      </w:pPr>
      <w:r>
        <w:rPr>
          <w:rFonts w:ascii="Times New Roman;serif" w:hAnsi="Times New Roman;serif"/>
          <w:color w:val="000000"/>
          <w:sz w:val="20"/>
          <w:shd w:fill="FFFFFF" w:val="clear"/>
        </w:rPr>
        <w:t>On June 30, 2026, the Company entered into a securities purchase agreement (the “Securities Purchase Agreement”), with certain investors and Oramed, as collateral agent, pursuant to which the Company agreed to issue to the certain investors senior secured convertible notes convertible into ordinary shares, no par value per share (the “Ordinary Shares”) and accompanying warrants to purchase Ordinary Shares. The transaction closed on July 6, 2026 and as a result, the Company issued (i) (A) an aggregate principal amount of $5,580,000.00 in senior secured convertible notes (the “Initial Notes”), convertible into Ordinary Shares, and (B) accompanying warrants to purchase Ordinary Shares (the “Initial Warrants”). Pursuant to the Securities Purchase Agreement, the Company agreed to issue (ii) (A) $5,580,000.00 aggregate principal amount senior secured convertible notes (the “Second Notes”, and together with the Initial Notes, the “Notes” and each a “Note”), convertible into Ordinary Shares, and (B) accompanying warrants to purchase Ordinary Shares (the “Second Warrants”, and together with the Initial Warrants, the “Warrants”). The funding of the Second Notes is subject to customary closing conditions and either (i) the Company achieving, as of the most recently completed fiscal quarter end for which the Company has publicly filed or furnished financial statements, at least a one hundred fifty percent (150%) increase in ReWalk Unit Sales (as defined in the Securities Purchase Agreement), measured in U.S. dollars, relative to the trailing twelve</w:t>
        <w:noBreakHyphen/>
        <w:t>month period immediately preceding the Additional Closing Date (as defined in the Securities Purchase Agreement), or (ii) the closing price of the Company’s Ordinary Shares on the Trading Market (as defined in the Securities Purchase Agreement) equals or exceeds $13.80 per share (which amount may be adjusted for certain capital events, such as stock splits following the date of the Securities Purchase Agreement) on each Trading Day (as defined in the Securities Purchase Agreement) during the ten (10) consecutive Trading Days immediately prior to the Additional Closing Date.</w:t>
      </w:r>
    </w:p>
    <w:p>
      <w:pPr>
        <w:pStyle w:val="TextBody"/>
        <w:bidi w:val="0"/>
        <w:spacing w:lineRule="auto" w:line="300" w:before="0" w:after="0"/>
        <w:jc w:val="left"/>
        <w:rPr/>
      </w:pPr>
      <w:r>
        <w:rPr/>
      </w:r>
    </w:p>
    <w:p>
      <w:pPr>
        <w:pStyle w:val="TextBody"/>
        <w:bidi w:val="0"/>
        <w:spacing w:lineRule="auto" w:line="300" w:before="0" w:after="0"/>
        <w:jc w:val="both"/>
        <w:rPr>
          <w:rFonts w:ascii="Times New Roman;serif" w:hAnsi="Times New Roman;serif"/>
          <w:color w:val="000000"/>
          <w:sz w:val="20"/>
          <w:shd w:fill="FFFFFF" w:val="clear"/>
        </w:rPr>
      </w:pPr>
      <w:r>
        <w:rPr>
          <w:rFonts w:ascii="Times New Roman;serif" w:hAnsi="Times New Roman;serif"/>
          <w:color w:val="000000"/>
          <w:sz w:val="20"/>
          <w:shd w:fill="FFFFFF" w:val="clear"/>
        </w:rPr>
        <w:t>Each Note matures on the three (3) year anniversary from the date of issuance (the “Term”). The principal amount of each Note outstanding plus all accrued and unpaid interest is convertible, at the option of the holder at any time, in whole or in part, into such number of Ordinary Shares (the “Conversion Shares”) at an initial conversion price equal to $5.40 per share, subject to certain adjustments (the “Conversion Price”). The Conversion Price is subject to standard adjustments in the event of stock dividends, stock splits, combinations or similar events.</w:t>
      </w:r>
    </w:p>
    <w:p>
      <w:pPr>
        <w:pStyle w:val="TextBody"/>
        <w:bidi w:val="0"/>
        <w:spacing w:lineRule="auto" w:line="300" w:before="0" w:after="0"/>
        <w:jc w:val="left"/>
        <w:rPr/>
      </w:pPr>
      <w:r>
        <w:rPr/>
      </w:r>
    </w:p>
    <w:p>
      <w:pPr>
        <w:pStyle w:val="TextBody"/>
        <w:bidi w:val="0"/>
        <w:spacing w:lineRule="auto" w:line="300" w:before="0" w:after="0"/>
        <w:jc w:val="both"/>
        <w:rPr>
          <w:rFonts w:ascii="Times New Roman;serif" w:hAnsi="Times New Roman;serif"/>
          <w:color w:val="000000"/>
          <w:sz w:val="20"/>
          <w:shd w:fill="FFFFFF" w:val="clear"/>
        </w:rPr>
      </w:pPr>
      <w:r>
        <w:rPr>
          <w:rFonts w:ascii="Times New Roman;serif" w:hAnsi="Times New Roman;serif"/>
          <w:color w:val="000000"/>
          <w:sz w:val="20"/>
          <w:shd w:fill="FFFFFF" w:val="clear"/>
        </w:rPr>
        <w:t>The Notes accrue interest at the rate of 8.0% per annum, which shall automatically be increased to 15.0% per annum in the event of an event of default. Any interest payable on the Notes shall be payable semi</w:t>
        <w:noBreakHyphen/>
        <w:t>annually in arrears on June 30 and December 31 of each year, commencing on December 31, 2026, which may be paid in cash, or at the Company’s sole election, may be added to the outstanding principal balance of the applicable Note.</w:t>
      </w:r>
    </w:p>
    <w:p>
      <w:pPr>
        <w:pStyle w:val="TextBody"/>
        <w:bidi w:val="0"/>
        <w:spacing w:lineRule="auto" w:line="300" w:before="0" w:after="0"/>
        <w:jc w:val="left"/>
        <w:rPr/>
      </w:pPr>
      <w:r>
        <w:rPr/>
      </w:r>
    </w:p>
    <w:p>
      <w:pPr>
        <w:pStyle w:val="HorizontalLine"/>
        <w:bidi w:val="0"/>
        <w:spacing w:before="200" w:after="200"/>
        <w:jc w:val="left"/>
        <w:rPr/>
      </w:pPr>
      <w:r>
        <w:rPr/>
      </w:r>
    </w:p>
    <w:p>
      <w:pPr>
        <w:pStyle w:val="TextBody"/>
        <w:bidi w:val="0"/>
        <w:spacing w:lineRule="auto" w:line="300" w:before="0" w:after="0"/>
        <w:jc w:val="both"/>
        <w:rPr>
          <w:rFonts w:ascii="Times New Roman;serif" w:hAnsi="Times New Roman;serif"/>
          <w:color w:val="000000"/>
          <w:sz w:val="20"/>
          <w:shd w:fill="FFFFFF" w:val="clear"/>
        </w:rPr>
      </w:pPr>
      <w:r>
        <w:rPr>
          <w:rFonts w:ascii="Times New Roman;serif" w:hAnsi="Times New Roman;serif"/>
          <w:color w:val="000000"/>
          <w:sz w:val="20"/>
          <w:shd w:fill="FFFFFF" w:val="clear"/>
        </w:rPr>
        <w:t>The Notes may not be converted and Ordinary Shares may not be issued under the Notes if, after giving effect to the conversion or issuance, such Purchaser would beneficially own in excess of 4.99% of the outstanding Ordinary Shares, subject to increase provided that such beneficial ownership limitation in no events exceeds 4.99% (with such increase not effective until the sixty-first (61st) day after delivery of the applicable notice) or decrease.</w:t>
      </w:r>
    </w:p>
    <w:p>
      <w:pPr>
        <w:pStyle w:val="TextBody"/>
        <w:bidi w:val="0"/>
        <w:spacing w:lineRule="auto" w:line="300" w:before="0" w:after="0"/>
        <w:jc w:val="left"/>
        <w:rPr/>
      </w:pPr>
      <w:r>
        <w:rPr/>
      </w:r>
    </w:p>
    <w:p>
      <w:pPr>
        <w:pStyle w:val="TextBody"/>
        <w:bidi w:val="0"/>
        <w:spacing w:lineRule="auto" w:line="300" w:before="0" w:after="0"/>
        <w:jc w:val="both"/>
        <w:rPr>
          <w:rFonts w:ascii="Times New Roman;serif" w:hAnsi="Times New Roman;serif"/>
          <w:color w:val="000000"/>
          <w:sz w:val="20"/>
          <w:shd w:fill="FFFFFF" w:val="clear"/>
        </w:rPr>
      </w:pPr>
      <w:r>
        <w:rPr>
          <w:rFonts w:ascii="Times New Roman;serif" w:hAnsi="Times New Roman;serif"/>
          <w:color w:val="000000"/>
          <w:sz w:val="20"/>
          <w:shd w:fill="FFFFFF" w:val="clear"/>
        </w:rPr>
        <w:t>The Notes contain customary events of default. If an event of default occurs, the outstanding principal amount of the Notes plus accrued but unpaid interest, liquidated damages and other amounts owing in respect thereof through the date of acceleration, shall become, at the holder of the Note’s election, immediately due and payable in cash.</w:t>
      </w:r>
    </w:p>
    <w:p>
      <w:pPr>
        <w:pStyle w:val="TextBody"/>
        <w:bidi w:val="0"/>
        <w:spacing w:lineRule="auto" w:line="300" w:before="0" w:after="0"/>
        <w:jc w:val="left"/>
        <w:rPr/>
      </w:pPr>
      <w:r>
        <w:rPr/>
      </w:r>
    </w:p>
    <w:p>
      <w:pPr>
        <w:pStyle w:val="TextBody"/>
        <w:bidi w:val="0"/>
        <w:spacing w:lineRule="auto" w:line="300" w:before="0" w:after="0"/>
        <w:jc w:val="both"/>
        <w:rPr>
          <w:rFonts w:ascii="Times New Roman;serif" w:hAnsi="Times New Roman;serif"/>
          <w:color w:val="000000"/>
          <w:sz w:val="20"/>
          <w:shd w:fill="FFFFFF" w:val="clear"/>
        </w:rPr>
      </w:pPr>
      <w:r>
        <w:rPr>
          <w:rFonts w:ascii="Times New Roman;serif" w:hAnsi="Times New Roman;serif"/>
          <w:color w:val="000000"/>
          <w:sz w:val="20"/>
          <w:shd w:fill="FFFFFF" w:val="clear"/>
        </w:rPr>
        <w:t>The Warrants are exercisable for up to an aggregate of 100% of Ordinary Shares (the “Warrant Shares”) that each Note is convertible into as of the issuance date, at an initial exercise price of $5.40 per share, subject to certain adjustments (the “Exercise Price”). Additionally, the Warrants are exercisable immediately and expire five years after the date of issuance, and may be exercised on a cashless basis. The Exercise Price is subject to standard adjustments in the event of certain events, such as stock splits, combinations, dividends, distributions, reclassifications, mergers or other corporate changes. The Warrants may not be exercised and Ordinary Shares may not be issued under the Warrants if, after giving effect to the conversion or issuance, such Purchaser would beneficially own in excess of 4.99% of the outstanding Ordinary Shares, subject to increase provided that such beneficial ownership limitation in no event exceeds 4.99% (with such increase not effective until the sixty-first (61st) day after delivery of the applicable notice) or decrease.</w:t>
      </w:r>
    </w:p>
    <w:p>
      <w:pPr>
        <w:pStyle w:val="TextBody"/>
        <w:bidi w:val="0"/>
        <w:spacing w:lineRule="auto" w:line="300" w:before="0" w:after="0"/>
        <w:jc w:val="left"/>
        <w:rPr/>
      </w:pPr>
      <w:r>
        <w:rPr/>
      </w:r>
    </w:p>
    <w:p>
      <w:pPr>
        <w:pStyle w:val="TextBody"/>
        <w:bidi w:val="0"/>
        <w:spacing w:lineRule="auto" w:line="300" w:before="0" w:after="0"/>
        <w:jc w:val="both"/>
        <w:rPr>
          <w:rFonts w:ascii="Times New Roman;serif" w:hAnsi="Times New Roman;serif"/>
          <w:color w:val="000000"/>
          <w:sz w:val="20"/>
          <w:shd w:fill="FFFFFF" w:val="clear"/>
        </w:rPr>
      </w:pPr>
      <w:r>
        <w:rPr>
          <w:rFonts w:ascii="Times New Roman;serif" w:hAnsi="Times New Roman;serif"/>
          <w:color w:val="000000"/>
          <w:sz w:val="20"/>
          <w:shd w:fill="FFFFFF" w:val="clear"/>
        </w:rPr>
        <w:t>The number of Ordinary Shares that may be issued upon conversion of the Notes or exercise of the Warrants is subject to an exchange cap (the “Exchange Cap”) of 19.99% of the number of outstanding Ordinary Shares of the Company, unless shareholder approval is obtained to exceed the Exchange Cap.</w:t>
      </w:r>
    </w:p>
    <w:p>
      <w:pPr>
        <w:pStyle w:val="TextBody"/>
        <w:bidi w:val="0"/>
        <w:spacing w:lineRule="auto" w:line="300" w:before="0" w:after="0"/>
        <w:jc w:val="left"/>
        <w:rPr/>
      </w:pPr>
      <w:r>
        <w:rPr/>
      </w:r>
    </w:p>
    <w:p>
      <w:pPr>
        <w:pStyle w:val="TextBody"/>
        <w:bidi w:val="0"/>
        <w:spacing w:lineRule="auto" w:line="300" w:before="0" w:after="0"/>
        <w:jc w:val="both"/>
        <w:rPr>
          <w:rFonts w:ascii="Times New Roman;serif" w:hAnsi="Times New Roman;serif"/>
          <w:color w:val="000000"/>
          <w:sz w:val="20"/>
          <w:shd w:fill="FFFFFF" w:val="clear"/>
        </w:rPr>
      </w:pPr>
      <w:r>
        <w:rPr>
          <w:rFonts w:ascii="Times New Roman;serif" w:hAnsi="Times New Roman;serif"/>
          <w:color w:val="000000"/>
          <w:sz w:val="20"/>
          <w:shd w:fill="FFFFFF" w:val="clear"/>
        </w:rPr>
        <w:t>Pursuant to the Securities Purchase Agreement, the Company has agreed to file a registration statement to register the Ordinary Shares underlying the Notes and Warrants within 30 days following the closing of the Initial Note, and to use its commercially reasonable efforts to cause such additional registration statement to be declared effective by the Securities and Exchange Commission (the “SEC”) within 45 days following such closing (or within 75 days of such closing if the SEC notifies the Company that the SEC shall “review” such additional registration statement).</w:t>
      </w:r>
    </w:p>
    <w:p>
      <w:pPr>
        <w:pStyle w:val="TextBody"/>
        <w:bidi w:val="0"/>
        <w:spacing w:lineRule="auto" w:line="300" w:before="0" w:after="0"/>
        <w:jc w:val="left"/>
        <w:rPr/>
      </w:pPr>
      <w:r>
        <w:rPr/>
      </w:r>
    </w:p>
    <w:p>
      <w:pPr>
        <w:pStyle w:val="TextBody"/>
        <w:bidi w:val="0"/>
        <w:spacing w:lineRule="auto" w:line="300" w:before="0" w:after="0"/>
        <w:jc w:val="both"/>
        <w:rPr>
          <w:rFonts w:ascii="Times New Roman;serif" w:hAnsi="Times New Roman;serif"/>
          <w:color w:val="000000"/>
          <w:sz w:val="20"/>
          <w:shd w:fill="FFFFFF" w:val="clear"/>
        </w:rPr>
      </w:pPr>
      <w:r>
        <w:rPr>
          <w:rFonts w:ascii="Times New Roman;serif" w:hAnsi="Times New Roman;serif"/>
          <w:color w:val="000000"/>
          <w:sz w:val="20"/>
          <w:shd w:fill="FFFFFF" w:val="clear"/>
        </w:rPr>
        <w:t>The offer and sale of the securities in the Notes and Warrants was made pursuant to the exemption from registration provided by Section 4(a)(2) of the Securities Act of 1933, as amended (the “Securities Act”), and Rule 506(b) of Regulation D promulgated thereunder. Such offer and sale were made only to “accredited investors” under Rule 501 of Regulation D promulgated under the Securities Act, and without any form of general solicitation and with full access to any information requested by such investors regarding the Company or the securities offered and issued in the Notes and Warrants.</w:t>
      </w:r>
    </w:p>
    <w:p>
      <w:pPr>
        <w:pStyle w:val="TextBody"/>
        <w:bidi w:val="0"/>
        <w:spacing w:lineRule="auto" w:line="300" w:before="0" w:after="0"/>
        <w:jc w:val="left"/>
        <w:rPr/>
      </w:pPr>
      <w:r>
        <w:rPr/>
      </w:r>
    </w:p>
    <w:p>
      <w:pPr>
        <w:pStyle w:val="TextBody"/>
        <w:bidi w:val="0"/>
        <w:spacing w:lineRule="auto" w:line="300" w:before="0" w:after="0"/>
        <w:jc w:val="both"/>
        <w:rPr>
          <w:rFonts w:ascii="Times New Roman;serif" w:hAnsi="Times New Roman;serif"/>
          <w:color w:val="000000"/>
          <w:sz w:val="20"/>
          <w:shd w:fill="FFFFFF" w:val="clear"/>
        </w:rPr>
      </w:pPr>
      <w:r>
        <w:rPr>
          <w:rFonts w:ascii="Times New Roman;serif" w:hAnsi="Times New Roman;serif"/>
          <w:color w:val="000000"/>
          <w:sz w:val="20"/>
          <w:shd w:fill="FFFFFF" w:val="clear"/>
        </w:rPr>
        <w:t>This report does not constitute an offer to sell or the solicitation of an offer to buy the securities in the described offering, nor shall there be any offer, solicitation or sale of the securities in any jurisdiction in which such offer, solicitation or sale would be unlawful prior to registration or qualification under the securities laws of any such jurisdiction.</w:t>
      </w:r>
    </w:p>
    <w:p>
      <w:pPr>
        <w:pStyle w:val="TextBody"/>
        <w:bidi w:val="0"/>
        <w:spacing w:lineRule="auto" w:line="300" w:before="0" w:after="0"/>
        <w:jc w:val="left"/>
        <w:rPr/>
      </w:pPr>
      <w:r>
        <w:rPr/>
      </w:r>
    </w:p>
    <w:p>
      <w:pPr>
        <w:pStyle w:val="TextBody"/>
        <w:bidi w:val="0"/>
        <w:spacing w:lineRule="auto" w:line="300" w:before="0" w:after="0"/>
        <w:jc w:val="both"/>
        <w:rPr>
          <w:rFonts w:ascii="Times New Roman;serif" w:hAnsi="Times New Roman;serif"/>
          <w:color w:val="000000"/>
          <w:sz w:val="20"/>
          <w:shd w:fill="FFFFFF" w:val="clear"/>
        </w:rPr>
      </w:pPr>
      <w:r>
        <w:rPr>
          <w:rFonts w:ascii="Times New Roman;serif" w:hAnsi="Times New Roman;serif"/>
          <w:color w:val="000000"/>
          <w:sz w:val="20"/>
          <w:shd w:fill="FFFFFF" w:val="clear"/>
        </w:rPr>
        <w:t>The foregoing descriptions of the Securities Purchase Agreement, Notes and Warrants are not complete and are qualified in their entirety by reference to the full text of such documents, the forms of which are filed as Exhibits 4.4, 4.5 and 10.1, respectively, to this Current Report on Form 8-K and are incorporated herein by reference.</w:t>
      </w:r>
    </w:p>
    <w:p>
      <w:pPr>
        <w:pStyle w:val="TextBody"/>
        <w:bidi w:val="0"/>
        <w:spacing w:lineRule="auto" w:line="300" w:before="0" w:after="0"/>
        <w:jc w:val="left"/>
        <w:rPr/>
      </w:pPr>
      <w:r>
        <w:rPr/>
      </w:r>
    </w:p>
    <w:p>
      <w:pPr>
        <w:pStyle w:val="HorizontalLine"/>
        <w:bidi w:val="0"/>
        <w:spacing w:before="200" w:after="200"/>
        <w:jc w:val="left"/>
        <w:rPr/>
      </w:pPr>
      <w:r>
        <w:rPr/>
      </w:r>
    </w:p>
    <w:p>
      <w:pPr>
        <w:pStyle w:val="TextBody"/>
        <w:bidi w:val="0"/>
        <w:spacing w:lineRule="auto" w:line="300" w:before="0" w:after="0"/>
        <w:jc w:val="both"/>
        <w:rPr>
          <w:rFonts w:ascii="Times New Roman;serif" w:hAnsi="Times New Roman;serif"/>
          <w:color w:val="000000"/>
          <w:sz w:val="20"/>
          <w:shd w:fill="FFFFFF" w:val="clear"/>
        </w:rPr>
      </w:pPr>
      <w:r>
        <w:rPr>
          <w:rFonts w:ascii="Times New Roman;serif" w:hAnsi="Times New Roman;serif"/>
          <w:b/>
          <w:color w:val="000000"/>
          <w:sz w:val="20"/>
          <w:shd w:fill="FFFFFF" w:val="clear"/>
        </w:rPr>
        <w:t>Item 2.03.</w:t>
      </w:r>
      <w:r>
        <w:rPr>
          <w:rFonts w:ascii="Times New Roman;serif" w:hAnsi="Times New Roman;serif"/>
          <w:color w:val="000000"/>
          <w:sz w:val="20"/>
          <w:shd w:fill="FFFFFF" w:val="clear"/>
        </w:rPr>
        <w:t> </w:t>
      </w:r>
      <w:r>
        <w:rPr>
          <w:rFonts w:ascii="Times New Roman;serif" w:hAnsi="Times New Roman;serif"/>
          <w:b/>
          <w:color w:val="000000"/>
          <w:sz w:val="20"/>
          <w:shd w:fill="FFFFFF" w:val="clear"/>
        </w:rPr>
        <w:t>Creation of a Direct Financial Obligation or an Obligation Under an Off-Balance Sheet Arrangement of a Registrant.</w:t>
      </w:r>
    </w:p>
    <w:p>
      <w:pPr>
        <w:pStyle w:val="TextBody"/>
        <w:bidi w:val="0"/>
        <w:spacing w:lineRule="auto" w:line="300" w:before="0" w:after="0"/>
        <w:jc w:val="left"/>
        <w:rPr/>
      </w:pPr>
      <w:r>
        <w:rPr/>
      </w:r>
    </w:p>
    <w:p>
      <w:pPr>
        <w:pStyle w:val="TextBody"/>
        <w:bidi w:val="0"/>
        <w:spacing w:lineRule="auto" w:line="300" w:before="0" w:after="0"/>
        <w:jc w:val="both"/>
        <w:rPr>
          <w:rFonts w:ascii="Times New Roman;serif" w:hAnsi="Times New Roman;serif"/>
          <w:color w:val="000000"/>
          <w:sz w:val="20"/>
          <w:shd w:fill="FFFFFF" w:val="clear"/>
        </w:rPr>
      </w:pPr>
      <w:r>
        <w:rPr>
          <w:rFonts w:ascii="Times New Roman;serif" w:hAnsi="Times New Roman;serif"/>
          <w:color w:val="000000"/>
          <w:sz w:val="20"/>
          <w:shd w:fill="FFFFFF" w:val="clear"/>
        </w:rPr>
        <w:t>The information set forth in Item 1.01 of this Current Report on Form 8-K is incorporated herein by reference.</w:t>
      </w:r>
    </w:p>
    <w:p>
      <w:pPr>
        <w:pStyle w:val="TextBody"/>
        <w:bidi w:val="0"/>
        <w:spacing w:lineRule="auto" w:line="300" w:before="0" w:after="0"/>
        <w:jc w:val="left"/>
        <w:rPr/>
      </w:pPr>
      <w:r>
        <w:rPr/>
      </w:r>
    </w:p>
    <w:p>
      <w:pPr>
        <w:pStyle w:val="TextBody"/>
        <w:bidi w:val="0"/>
        <w:spacing w:lineRule="auto" w:line="300" w:before="0" w:after="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Item 3.02. Unregistered Sales of Equity Securities.</w:t>
      </w:r>
    </w:p>
    <w:p>
      <w:pPr>
        <w:pStyle w:val="TextBody"/>
        <w:bidi w:val="0"/>
        <w:spacing w:lineRule="auto" w:line="300" w:before="0" w:after="0"/>
        <w:jc w:val="left"/>
        <w:rPr/>
      </w:pPr>
      <w:r>
        <w:rPr/>
      </w:r>
    </w:p>
    <w:p>
      <w:pPr>
        <w:pStyle w:val="TextBody"/>
        <w:bidi w:val="0"/>
        <w:spacing w:lineRule="auto" w:line="300" w:before="0" w:after="0"/>
        <w:jc w:val="both"/>
        <w:rPr>
          <w:rFonts w:ascii="Times New Roman;serif" w:hAnsi="Times New Roman;serif"/>
          <w:color w:val="000000"/>
          <w:sz w:val="20"/>
          <w:shd w:fill="FFFFFF" w:val="clear"/>
        </w:rPr>
      </w:pPr>
      <w:r>
        <w:rPr>
          <w:rFonts w:ascii="Times New Roman;serif" w:hAnsi="Times New Roman;serif"/>
          <w:color w:val="000000"/>
          <w:sz w:val="20"/>
          <w:shd w:fill="FFFFFF" w:val="clear"/>
        </w:rPr>
        <w:t>The information set forth in Item 1.01 of this Current Report on Form 8-K is incorporated herein by reference.</w:t>
      </w:r>
    </w:p>
    <w:p>
      <w:pPr>
        <w:pStyle w:val="TextBody"/>
        <w:bidi w:val="0"/>
        <w:spacing w:lineRule="auto" w:line="300" w:before="0" w:after="0"/>
        <w:jc w:val="left"/>
        <w:rPr>
          <w:color w:val="000000"/>
          <w:shd w:fill="FFFFFF" w:val="clear"/>
        </w:rPr>
      </w:pPr>
      <w:r>
        <w:rPr>
          <w:color w:val="000000"/>
          <w:shd w:fill="FFFFFF" w:val="clear"/>
        </w:rPr>
        <w:t> </w:t>
      </w:r>
    </w:p>
    <w:p>
      <w:pPr>
        <w:pStyle w:val="TextBody"/>
        <w:bidi w:val="0"/>
        <w:spacing w:lineRule="auto" w:line="300"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Item 9.01 Financial Statements and Exhibits.</w:t>
      </w:r>
    </w:p>
    <w:p>
      <w:pPr>
        <w:pStyle w:val="TextBody"/>
        <w:bidi w:val="0"/>
        <w:spacing w:lineRule="auto" w:line="300" w:before="0" w:after="0"/>
        <w:jc w:val="left"/>
        <w:rPr>
          <w:color w:val="000000"/>
          <w:shd w:fill="FFFFFF" w:val="clear"/>
        </w:rPr>
      </w:pPr>
      <w:r>
        <w:rPr>
          <w:color w:val="000000"/>
          <w:shd w:fill="FFFFFF" w:val="clear"/>
        </w:rPr>
        <w:t> </w:t>
      </w:r>
    </w:p>
    <w:tbl>
      <w:tblPr>
        <w:tblW w:w="6925" w:type="dxa"/>
        <w:jc w:val="left"/>
        <w:tblInd w:w="0" w:type="dxa"/>
        <w:tblLayout w:type="fixed"/>
        <w:tblCellMar>
          <w:top w:w="0" w:type="dxa"/>
          <w:left w:w="0" w:type="dxa"/>
          <w:bottom w:w="0" w:type="dxa"/>
          <w:right w:w="0" w:type="dxa"/>
        </w:tblCellMar>
      </w:tblPr>
      <w:tblGrid>
        <w:gridCol w:w="395"/>
        <w:gridCol w:w="6530"/>
      </w:tblGrid>
      <w:tr>
        <w:trPr/>
        <w:tc>
          <w:tcPr>
            <w:tcW w:w="6925" w:type="dxa"/>
            <w:gridSpan w:val="2"/>
            <w:tcBorders/>
            <w:vAlign w:val="center"/>
          </w:tcPr>
          <w:p>
            <w:pPr>
              <w:pStyle w:val="TableContents"/>
              <w:bidi w:val="0"/>
              <w:spacing w:lineRule="auto" w:line="300" w:before="0" w:after="0"/>
              <w:jc w:val="left"/>
              <w:rPr>
                <w:rFonts w:ascii="Times New Roman;serif" w:hAnsi="Times New Roman;serif"/>
                <w:color w:val="000000"/>
                <w:sz w:val="20"/>
              </w:rPr>
            </w:pPr>
            <w:r>
              <w:rPr>
                <w:rFonts w:ascii="Times New Roman;serif" w:hAnsi="Times New Roman;serif"/>
                <w:color w:val="000000"/>
                <w:sz w:val="20"/>
              </w:rPr>
              <w:t>(d) Exhibits</w:t>
            </w:r>
          </w:p>
        </w:tc>
      </w:tr>
      <w:tr>
        <w:trPr/>
        <w:tc>
          <w:tcPr>
            <w:tcW w:w="6925" w:type="dxa"/>
            <w:gridSpan w:val="2"/>
            <w:tcBorders/>
            <w:vAlign w:val="center"/>
          </w:tcPr>
          <w:p>
            <w:pPr>
              <w:pStyle w:val="TableContents"/>
              <w:bidi w:val="0"/>
              <w:spacing w:before="0" w:after="283"/>
              <w:jc w:val="left"/>
              <w:rPr/>
            </w:pPr>
            <w:r>
              <w:rPr/>
              <w:t> </w:t>
            </w:r>
          </w:p>
        </w:tc>
      </w:tr>
      <w:tr>
        <w:trPr/>
        <w:tc>
          <w:tcPr>
            <w:tcW w:w="395" w:type="dxa"/>
            <w:tcBorders/>
            <w:vAlign w:val="center"/>
          </w:tcPr>
          <w:p>
            <w:pPr>
              <w:pStyle w:val="TableContents"/>
              <w:bidi w:val="0"/>
              <w:spacing w:lineRule="auto" w:line="300" w:before="0" w:after="0"/>
              <w:jc w:val="left"/>
              <w:rPr/>
            </w:pPr>
            <w:hyperlink w:anchor="exhibit_4-1.htm">
              <w:r>
                <w:rPr>
                  <w:rStyle w:val="InternetLink"/>
                  <w:rFonts w:ascii="Times New Roman;serif" w:hAnsi="Times New Roman;serif"/>
                  <w:color w:val="000000"/>
                  <w:sz w:val="20"/>
                </w:rPr>
                <w:t>4.1</w:t>
              </w:r>
            </w:hyperlink>
          </w:p>
        </w:tc>
        <w:tc>
          <w:tcPr>
            <w:tcW w:w="6530" w:type="dxa"/>
            <w:tcBorders/>
            <w:vAlign w:val="center"/>
          </w:tcPr>
          <w:p>
            <w:pPr>
              <w:pStyle w:val="TableContents"/>
              <w:bidi w:val="0"/>
              <w:spacing w:lineRule="auto" w:line="300" w:before="0" w:after="0"/>
              <w:jc w:val="left"/>
              <w:rPr/>
            </w:pPr>
            <w:hyperlink w:anchor="exhibit_4-1.htm">
              <w:r>
                <w:rPr>
                  <w:rStyle w:val="InternetLink"/>
                  <w:rFonts w:ascii="Times New Roman;serif" w:hAnsi="Times New Roman;serif"/>
                  <w:color w:val="000000"/>
                  <w:sz w:val="20"/>
                </w:rPr>
                <w:t>Form of Amended and Restated Senior Secured Convertible Note.</w:t>
              </w:r>
            </w:hyperlink>
          </w:p>
        </w:tc>
      </w:tr>
      <w:tr>
        <w:trPr/>
        <w:tc>
          <w:tcPr>
            <w:tcW w:w="395" w:type="dxa"/>
            <w:tcBorders/>
            <w:vAlign w:val="center"/>
          </w:tcPr>
          <w:p>
            <w:pPr>
              <w:pStyle w:val="TableContents"/>
              <w:bidi w:val="0"/>
              <w:spacing w:lineRule="auto" w:line="300" w:before="0" w:after="0"/>
              <w:jc w:val="left"/>
              <w:rPr/>
            </w:pPr>
            <w:hyperlink w:anchor="exhibit_4-2.htm">
              <w:r>
                <w:rPr>
                  <w:rStyle w:val="InternetLink"/>
                  <w:rFonts w:ascii="Times New Roman;serif" w:hAnsi="Times New Roman;serif"/>
                  <w:color w:val="000000"/>
                  <w:sz w:val="20"/>
                </w:rPr>
                <w:t>4.2</w:t>
              </w:r>
            </w:hyperlink>
          </w:p>
        </w:tc>
        <w:tc>
          <w:tcPr>
            <w:tcW w:w="6530" w:type="dxa"/>
            <w:tcBorders/>
            <w:vAlign w:val="center"/>
          </w:tcPr>
          <w:p>
            <w:pPr>
              <w:pStyle w:val="TableContents"/>
              <w:bidi w:val="0"/>
              <w:spacing w:lineRule="auto" w:line="300" w:before="0" w:after="0"/>
              <w:jc w:val="left"/>
              <w:rPr/>
            </w:pPr>
            <w:hyperlink w:anchor="exhibit_4-2.htm">
              <w:r>
                <w:rPr>
                  <w:rStyle w:val="InternetLink"/>
                  <w:rFonts w:ascii="Times New Roman;serif" w:hAnsi="Times New Roman;serif"/>
                  <w:color w:val="000000"/>
                  <w:sz w:val="20"/>
                </w:rPr>
                <w:t>Form of Amended and Restated Common Warrant.</w:t>
              </w:r>
            </w:hyperlink>
          </w:p>
        </w:tc>
      </w:tr>
      <w:tr>
        <w:trPr/>
        <w:tc>
          <w:tcPr>
            <w:tcW w:w="395" w:type="dxa"/>
            <w:tcBorders/>
            <w:vAlign w:val="center"/>
          </w:tcPr>
          <w:p>
            <w:pPr>
              <w:pStyle w:val="TableContents"/>
              <w:bidi w:val="0"/>
              <w:spacing w:lineRule="auto" w:line="300" w:before="0" w:after="0"/>
              <w:jc w:val="left"/>
              <w:rPr/>
            </w:pPr>
            <w:hyperlink w:anchor="exhibit_4-3.htm">
              <w:r>
                <w:rPr>
                  <w:rStyle w:val="InternetLink"/>
                  <w:rFonts w:ascii="Times New Roman;serif" w:hAnsi="Times New Roman;serif"/>
                  <w:color w:val="000000"/>
                  <w:sz w:val="20"/>
                </w:rPr>
                <w:t>4.3</w:t>
              </w:r>
            </w:hyperlink>
          </w:p>
        </w:tc>
        <w:tc>
          <w:tcPr>
            <w:tcW w:w="6530" w:type="dxa"/>
            <w:tcBorders/>
            <w:vAlign w:val="center"/>
          </w:tcPr>
          <w:p>
            <w:pPr>
              <w:pStyle w:val="TableContents"/>
              <w:bidi w:val="0"/>
              <w:spacing w:lineRule="auto" w:line="300" w:before="0" w:after="0"/>
              <w:jc w:val="left"/>
              <w:rPr/>
            </w:pPr>
            <w:hyperlink w:anchor="exhibit_4-3.htm">
              <w:r>
                <w:rPr>
                  <w:rStyle w:val="InternetLink"/>
                  <w:rFonts w:ascii="Times New Roman;serif" w:hAnsi="Times New Roman;serif"/>
                  <w:color w:val="000000"/>
                  <w:sz w:val="20"/>
                </w:rPr>
                <w:t>Form of Amended and Restated Pre-Funded Warrant.</w:t>
              </w:r>
            </w:hyperlink>
          </w:p>
        </w:tc>
      </w:tr>
      <w:tr>
        <w:trPr/>
        <w:tc>
          <w:tcPr>
            <w:tcW w:w="395" w:type="dxa"/>
            <w:tcBorders/>
            <w:vAlign w:val="center"/>
          </w:tcPr>
          <w:p>
            <w:pPr>
              <w:pStyle w:val="TableContents"/>
              <w:bidi w:val="0"/>
              <w:spacing w:lineRule="auto" w:line="300" w:before="0" w:after="0"/>
              <w:jc w:val="left"/>
              <w:rPr/>
            </w:pPr>
            <w:hyperlink w:anchor="exhibit_4-4.htm">
              <w:r>
                <w:rPr>
                  <w:rStyle w:val="InternetLink"/>
                  <w:rFonts w:ascii="Times New Roman;serif" w:hAnsi="Times New Roman;serif"/>
                  <w:color w:val="000000"/>
                  <w:sz w:val="20"/>
                </w:rPr>
                <w:t>4.4</w:t>
              </w:r>
            </w:hyperlink>
          </w:p>
        </w:tc>
        <w:tc>
          <w:tcPr>
            <w:tcW w:w="6530" w:type="dxa"/>
            <w:tcBorders/>
            <w:vAlign w:val="center"/>
          </w:tcPr>
          <w:p>
            <w:pPr>
              <w:pStyle w:val="TableContents"/>
              <w:bidi w:val="0"/>
              <w:spacing w:lineRule="auto" w:line="300" w:before="0" w:after="0"/>
              <w:jc w:val="left"/>
              <w:rPr/>
            </w:pPr>
            <w:hyperlink w:anchor="exhibit_4-4.htm">
              <w:r>
                <w:rPr>
                  <w:rStyle w:val="InternetLink"/>
                  <w:rFonts w:ascii="Times New Roman;serif" w:hAnsi="Times New Roman;serif"/>
                  <w:color w:val="000000"/>
                  <w:sz w:val="20"/>
                </w:rPr>
                <w:t>Form of Senior Secured Convertible Note.</w:t>
              </w:r>
            </w:hyperlink>
          </w:p>
        </w:tc>
      </w:tr>
      <w:tr>
        <w:trPr/>
        <w:tc>
          <w:tcPr>
            <w:tcW w:w="395" w:type="dxa"/>
            <w:tcBorders/>
            <w:vAlign w:val="center"/>
          </w:tcPr>
          <w:p>
            <w:pPr>
              <w:pStyle w:val="TableContents"/>
              <w:bidi w:val="0"/>
              <w:spacing w:lineRule="auto" w:line="300" w:before="0" w:after="0"/>
              <w:jc w:val="left"/>
              <w:rPr/>
            </w:pPr>
            <w:hyperlink w:anchor="exhibit_4-5.htm">
              <w:r>
                <w:rPr>
                  <w:rStyle w:val="InternetLink"/>
                  <w:rFonts w:ascii="Times New Roman;serif" w:hAnsi="Times New Roman;serif"/>
                  <w:color w:val="000000"/>
                  <w:sz w:val="20"/>
                </w:rPr>
                <w:t>4.5</w:t>
              </w:r>
            </w:hyperlink>
          </w:p>
        </w:tc>
        <w:tc>
          <w:tcPr>
            <w:tcW w:w="6530" w:type="dxa"/>
            <w:tcBorders/>
            <w:vAlign w:val="center"/>
          </w:tcPr>
          <w:p>
            <w:pPr>
              <w:pStyle w:val="TableContents"/>
              <w:bidi w:val="0"/>
              <w:spacing w:lineRule="auto" w:line="300" w:before="0" w:after="0"/>
              <w:jc w:val="left"/>
              <w:rPr/>
            </w:pPr>
            <w:hyperlink w:anchor="exhibit_4-5.htm">
              <w:r>
                <w:rPr>
                  <w:rStyle w:val="InternetLink"/>
                  <w:rFonts w:ascii="Times New Roman;serif" w:hAnsi="Times New Roman;serif"/>
                  <w:color w:val="000000"/>
                  <w:sz w:val="20"/>
                </w:rPr>
                <w:t>Form of Warrant.</w:t>
              </w:r>
            </w:hyperlink>
          </w:p>
        </w:tc>
      </w:tr>
      <w:tr>
        <w:trPr/>
        <w:tc>
          <w:tcPr>
            <w:tcW w:w="395" w:type="dxa"/>
            <w:tcBorders/>
            <w:vAlign w:val="center"/>
          </w:tcPr>
          <w:p>
            <w:pPr>
              <w:pStyle w:val="TableContents"/>
              <w:bidi w:val="0"/>
              <w:spacing w:lineRule="auto" w:line="300" w:before="0" w:after="0"/>
              <w:jc w:val="left"/>
              <w:rPr/>
            </w:pPr>
            <w:hyperlink w:anchor="exhibit_10-1.htm">
              <w:r>
                <w:rPr>
                  <w:rStyle w:val="InternetLink"/>
                  <w:rFonts w:ascii="Times New Roman;serif" w:hAnsi="Times New Roman;serif"/>
                  <w:color w:val="000000"/>
                  <w:sz w:val="20"/>
                </w:rPr>
                <w:t>10.1</w:t>
              </w:r>
            </w:hyperlink>
          </w:p>
        </w:tc>
        <w:tc>
          <w:tcPr>
            <w:tcW w:w="6530" w:type="dxa"/>
            <w:tcBorders/>
            <w:vAlign w:val="center"/>
          </w:tcPr>
          <w:p>
            <w:pPr>
              <w:pStyle w:val="TableContents"/>
              <w:bidi w:val="0"/>
              <w:spacing w:lineRule="auto" w:line="300" w:before="0" w:after="0"/>
              <w:jc w:val="left"/>
              <w:rPr/>
            </w:pPr>
            <w:hyperlink w:anchor="exhibit_10-1.htm">
              <w:r>
                <w:rPr>
                  <w:rStyle w:val="InternetLink"/>
                  <w:rFonts w:ascii="Times New Roman;serif" w:hAnsi="Times New Roman;serif"/>
                  <w:color w:val="000000"/>
                  <w:sz w:val="20"/>
                </w:rPr>
                <w:t>Form of Securities Purchase Agreement.</w:t>
              </w:r>
            </w:hyperlink>
          </w:p>
        </w:tc>
      </w:tr>
      <w:tr>
        <w:trPr/>
        <w:tc>
          <w:tcPr>
            <w:tcW w:w="395" w:type="dxa"/>
            <w:tcBorders/>
            <w:vAlign w:val="center"/>
          </w:tcPr>
          <w:p>
            <w:pPr>
              <w:pStyle w:val="TableContents"/>
              <w:bidi w:val="0"/>
              <w:spacing w:lineRule="auto" w:line="300" w:before="0" w:after="0"/>
              <w:jc w:val="left"/>
              <w:rPr>
                <w:rFonts w:ascii="Times New Roman;serif" w:hAnsi="Times New Roman;serif"/>
                <w:color w:val="000000"/>
                <w:sz w:val="20"/>
              </w:rPr>
            </w:pPr>
            <w:r>
              <w:rPr>
                <w:rFonts w:ascii="Times New Roman;serif" w:hAnsi="Times New Roman;serif"/>
                <w:color w:val="000000"/>
                <w:sz w:val="20"/>
              </w:rPr>
              <w:t>104</w:t>
            </w:r>
          </w:p>
        </w:tc>
        <w:tc>
          <w:tcPr>
            <w:tcW w:w="6530" w:type="dxa"/>
            <w:tcBorders/>
            <w:vAlign w:val="center"/>
          </w:tcPr>
          <w:p>
            <w:pPr>
              <w:pStyle w:val="TableContents"/>
              <w:bidi w:val="0"/>
              <w:spacing w:lineRule="auto" w:line="300" w:before="0" w:after="0"/>
              <w:jc w:val="both"/>
              <w:rPr>
                <w:rFonts w:ascii="Times New Roman;serif" w:hAnsi="Times New Roman;serif"/>
                <w:color w:val="000000"/>
                <w:sz w:val="20"/>
              </w:rPr>
            </w:pPr>
            <w:r>
              <w:rPr>
                <w:rFonts w:ascii="Times New Roman;serif" w:hAnsi="Times New Roman;serif"/>
                <w:color w:val="000000"/>
                <w:sz w:val="20"/>
              </w:rPr>
              <w:t>Cover Page Interactive Data File (embedded within the Inline XBRL document).</w:t>
            </w:r>
          </w:p>
        </w:tc>
      </w:tr>
    </w:tbl>
    <w:p>
      <w:pPr>
        <w:pStyle w:val="TextBody"/>
        <w:bidi w:val="0"/>
        <w:spacing w:lineRule="auto" w:line="300" w:before="0" w:after="0"/>
        <w:jc w:val="left"/>
        <w:rPr/>
      </w:pPr>
      <w:r>
        <w:rPr/>
      </w:r>
    </w:p>
    <w:p>
      <w:pPr>
        <w:pStyle w:val="HorizontalLine"/>
        <w:bidi w:val="0"/>
        <w:spacing w:before="200" w:after="200"/>
        <w:jc w:val="left"/>
        <w:rPr/>
      </w:pPr>
      <w:r>
        <w:rPr/>
      </w:r>
    </w:p>
    <w:p>
      <w:pPr>
        <w:pStyle w:val="TextBody"/>
        <w:bidi w:val="0"/>
        <w:spacing w:lineRule="auto" w:line="300"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SIGNATURES</w:t>
      </w:r>
    </w:p>
    <w:p>
      <w:pPr>
        <w:pStyle w:val="TextBody"/>
        <w:bidi w:val="0"/>
        <w:spacing w:lineRule="auto" w:line="300" w:before="0" w:after="0"/>
        <w:jc w:val="left"/>
        <w:rPr>
          <w:color w:val="000000"/>
          <w:shd w:fill="FFFFFF" w:val="clear"/>
        </w:rPr>
      </w:pPr>
      <w:r>
        <w:rPr>
          <w:color w:val="000000"/>
          <w:shd w:fill="FFFFFF" w:val="clear"/>
        </w:rPr>
        <w:t> </w:t>
      </w:r>
    </w:p>
    <w:p>
      <w:pPr>
        <w:pStyle w:val="TextBody"/>
        <w:bidi w:val="0"/>
        <w:spacing w:lineRule="auto" w:line="300" w:before="0" w:after="0"/>
        <w:jc w:val="both"/>
        <w:rPr>
          <w:rFonts w:ascii="Times New Roman;serif" w:hAnsi="Times New Roman;serif"/>
          <w:color w:val="000000"/>
          <w:sz w:val="20"/>
          <w:shd w:fill="FFFFFF" w:val="clear"/>
        </w:rPr>
      </w:pPr>
      <w:r>
        <w:rPr>
          <w:rFonts w:ascii="Times New Roman;serif" w:hAnsi="Times New Roman;serif"/>
          <w:color w:val="000000"/>
          <w:sz w:val="20"/>
          <w:shd w:fill="FFFFFF" w:val="clear"/>
        </w:rPr>
        <w:t>Pursuant to the requirements of the Securities Exchange Act of 1934, the Registrant has duly caused this report to be signed on its behalf by the undersigned hereunto duly authorized.</w:t>
      </w:r>
    </w:p>
    <w:p>
      <w:pPr>
        <w:pStyle w:val="TextBody"/>
        <w:bidi w:val="0"/>
        <w:spacing w:lineRule="auto" w:line="300" w:before="0" w:after="0"/>
        <w:jc w:val="left"/>
        <w:rPr>
          <w:color w:val="000000"/>
          <w:shd w:fill="FFFFFF" w:val="clear"/>
        </w:rPr>
      </w:pPr>
      <w:r>
        <w:rPr>
          <w:color w:val="000000"/>
          <w:shd w:fill="FFFFFF" w:val="clear"/>
        </w:rPr>
        <w:t> </w:t>
      </w:r>
    </w:p>
    <w:tbl>
      <w:tblPr>
        <w:tblW w:w="4035" w:type="dxa"/>
        <w:jc w:val="left"/>
        <w:tblInd w:w="0" w:type="dxa"/>
        <w:tblLayout w:type="fixed"/>
        <w:tblCellMar>
          <w:top w:w="0" w:type="dxa"/>
          <w:left w:w="0" w:type="dxa"/>
          <w:bottom w:w="0" w:type="dxa"/>
          <w:right w:w="0" w:type="dxa"/>
        </w:tblCellMar>
      </w:tblPr>
      <w:tblGrid>
        <w:gridCol w:w="1610"/>
        <w:gridCol w:w="545"/>
        <w:gridCol w:w="1880"/>
      </w:tblGrid>
      <w:tr>
        <w:trPr/>
        <w:tc>
          <w:tcPr>
            <w:tcW w:w="1610" w:type="dxa"/>
            <w:tcBorders/>
            <w:vAlign w:val="center"/>
          </w:tcPr>
          <w:p>
            <w:pPr>
              <w:pStyle w:val="TableContents"/>
              <w:bidi w:val="0"/>
              <w:spacing w:lineRule="auto" w:line="300" w:before="0" w:after="0"/>
              <w:jc w:val="left"/>
              <w:rPr>
                <w:color w:val="000000"/>
              </w:rPr>
            </w:pPr>
            <w:r>
              <w:rPr>
                <w:color w:val="000000"/>
              </w:rPr>
              <w:t> </w:t>
            </w:r>
          </w:p>
        </w:tc>
        <w:tc>
          <w:tcPr>
            <w:tcW w:w="2425" w:type="dxa"/>
            <w:gridSpan w:val="2"/>
            <w:tcBorders/>
            <w:vAlign w:val="center"/>
          </w:tcPr>
          <w:p>
            <w:pPr>
              <w:pStyle w:val="TableContents"/>
              <w:bidi w:val="0"/>
              <w:spacing w:lineRule="auto" w:line="300" w:before="0" w:after="0"/>
              <w:jc w:val="left"/>
              <w:rPr>
                <w:rFonts w:ascii="Times New Roman;serif" w:hAnsi="Times New Roman;serif"/>
                <w:b/>
                <w:color w:val="000000"/>
                <w:sz w:val="20"/>
              </w:rPr>
            </w:pPr>
            <w:r>
              <w:rPr>
                <w:rFonts w:ascii="Times New Roman;serif" w:hAnsi="Times New Roman;serif"/>
                <w:b/>
                <w:color w:val="000000"/>
                <w:sz w:val="20"/>
              </w:rPr>
              <w:t>Lifeward Ltd.</w:t>
            </w:r>
          </w:p>
        </w:tc>
      </w:tr>
      <w:tr>
        <w:trPr/>
        <w:tc>
          <w:tcPr>
            <w:tcW w:w="1610" w:type="dxa"/>
            <w:tcBorders/>
            <w:vAlign w:val="center"/>
          </w:tcPr>
          <w:p>
            <w:pPr>
              <w:pStyle w:val="TableContents"/>
              <w:bidi w:val="0"/>
              <w:spacing w:lineRule="auto" w:line="300" w:before="0" w:after="0"/>
              <w:jc w:val="left"/>
              <w:rPr>
                <w:rFonts w:ascii="Times New Roman;serif" w:hAnsi="Times New Roman;serif"/>
                <w:color w:val="000000"/>
                <w:sz w:val="20"/>
              </w:rPr>
            </w:pPr>
            <w:r>
              <w:rPr>
                <w:rFonts w:ascii="Times New Roman;serif" w:hAnsi="Times New Roman;serif"/>
                <w:color w:val="000000"/>
                <w:sz w:val="20"/>
              </w:rPr>
              <w:t>Dated: July 7, 2026</w:t>
            </w:r>
          </w:p>
        </w:tc>
        <w:tc>
          <w:tcPr>
            <w:tcW w:w="545" w:type="dxa"/>
            <w:tcBorders/>
            <w:vAlign w:val="center"/>
          </w:tcPr>
          <w:p>
            <w:pPr>
              <w:pStyle w:val="TableContents"/>
              <w:bidi w:val="0"/>
              <w:spacing w:lineRule="auto" w:line="300" w:before="0" w:after="0"/>
              <w:jc w:val="left"/>
              <w:rPr>
                <w:rFonts w:ascii="Times New Roman;serif" w:hAnsi="Times New Roman;serif"/>
                <w:color w:val="000000"/>
                <w:sz w:val="20"/>
              </w:rPr>
            </w:pPr>
            <w:r>
              <w:rPr>
                <w:rFonts w:ascii="Times New Roman;serif" w:hAnsi="Times New Roman;serif"/>
                <w:color w:val="000000"/>
                <w:sz w:val="20"/>
              </w:rPr>
              <w:t>By:</w:t>
            </w:r>
          </w:p>
        </w:tc>
        <w:tc>
          <w:tcPr>
            <w:tcW w:w="1880" w:type="dxa"/>
            <w:tcBorders>
              <w:bottom w:val="single" w:sz="12" w:space="0" w:color="000000"/>
            </w:tcBorders>
            <w:tcMar>
              <w:bottom w:w="28" w:type="dxa"/>
            </w:tcMar>
            <w:vAlign w:val="center"/>
          </w:tcPr>
          <w:p>
            <w:pPr>
              <w:pStyle w:val="TableContents"/>
              <w:bidi w:val="0"/>
              <w:spacing w:lineRule="auto" w:line="300" w:before="0" w:after="0"/>
              <w:jc w:val="left"/>
              <w:rPr>
                <w:rFonts w:ascii="Times New Roman;serif" w:hAnsi="Times New Roman;serif"/>
                <w:color w:val="000000"/>
                <w:sz w:val="20"/>
              </w:rPr>
            </w:pPr>
            <w:r>
              <w:rPr>
                <w:rFonts w:ascii="Times New Roman;serif" w:hAnsi="Times New Roman;serif"/>
                <w:color w:val="000000"/>
                <w:sz w:val="20"/>
              </w:rPr>
              <w:t>/s/ Almog Adar</w:t>
            </w:r>
          </w:p>
        </w:tc>
      </w:tr>
      <w:tr>
        <w:trPr/>
        <w:tc>
          <w:tcPr>
            <w:tcW w:w="1610" w:type="dxa"/>
            <w:tcBorders/>
            <w:vAlign w:val="center"/>
          </w:tcPr>
          <w:p>
            <w:pPr>
              <w:pStyle w:val="TableContents"/>
              <w:bidi w:val="0"/>
              <w:spacing w:lineRule="auto" w:line="300" w:before="0" w:after="0"/>
              <w:jc w:val="left"/>
              <w:rPr>
                <w:color w:val="000000"/>
              </w:rPr>
            </w:pPr>
            <w:r>
              <w:rPr>
                <w:color w:val="000000"/>
              </w:rPr>
              <w:t> </w:t>
            </w:r>
          </w:p>
        </w:tc>
        <w:tc>
          <w:tcPr>
            <w:tcW w:w="545" w:type="dxa"/>
            <w:tcBorders/>
            <w:vAlign w:val="center"/>
          </w:tcPr>
          <w:p>
            <w:pPr>
              <w:pStyle w:val="TableContents"/>
              <w:bidi w:val="0"/>
              <w:spacing w:lineRule="auto" w:line="300" w:before="0" w:after="0"/>
              <w:jc w:val="left"/>
              <w:rPr>
                <w:rFonts w:ascii="Times New Roman;serif" w:hAnsi="Times New Roman;serif"/>
                <w:color w:val="000000"/>
                <w:sz w:val="20"/>
              </w:rPr>
            </w:pPr>
            <w:r>
              <w:rPr>
                <w:rFonts w:ascii="Times New Roman;serif" w:hAnsi="Times New Roman;serif"/>
                <w:color w:val="000000"/>
                <w:sz w:val="20"/>
              </w:rPr>
              <w:t>Name:</w:t>
            </w:r>
          </w:p>
        </w:tc>
        <w:tc>
          <w:tcPr>
            <w:tcW w:w="1880" w:type="dxa"/>
            <w:tcBorders/>
            <w:vAlign w:val="center"/>
          </w:tcPr>
          <w:p>
            <w:pPr>
              <w:pStyle w:val="TableContents"/>
              <w:bidi w:val="0"/>
              <w:spacing w:lineRule="auto" w:line="300" w:before="0" w:after="0"/>
              <w:jc w:val="left"/>
              <w:rPr>
                <w:rFonts w:ascii="Times New Roman;serif" w:hAnsi="Times New Roman;serif"/>
                <w:color w:val="000000"/>
                <w:sz w:val="20"/>
              </w:rPr>
            </w:pPr>
            <w:r>
              <w:rPr>
                <w:rFonts w:ascii="Times New Roman;serif" w:hAnsi="Times New Roman;serif"/>
                <w:color w:val="000000"/>
                <w:sz w:val="20"/>
              </w:rPr>
              <w:t>Almog Adar</w:t>
            </w:r>
          </w:p>
        </w:tc>
      </w:tr>
      <w:tr>
        <w:trPr/>
        <w:tc>
          <w:tcPr>
            <w:tcW w:w="1610" w:type="dxa"/>
            <w:tcBorders/>
            <w:vAlign w:val="center"/>
          </w:tcPr>
          <w:p>
            <w:pPr>
              <w:pStyle w:val="TableContents"/>
              <w:bidi w:val="0"/>
              <w:spacing w:lineRule="auto" w:line="300" w:before="0" w:after="0"/>
              <w:jc w:val="left"/>
              <w:rPr>
                <w:color w:val="000000"/>
              </w:rPr>
            </w:pPr>
            <w:r>
              <w:rPr>
                <w:color w:val="000000"/>
              </w:rPr>
              <w:t> </w:t>
            </w:r>
          </w:p>
        </w:tc>
        <w:tc>
          <w:tcPr>
            <w:tcW w:w="545" w:type="dxa"/>
            <w:tcBorders/>
            <w:vAlign w:val="center"/>
          </w:tcPr>
          <w:p>
            <w:pPr>
              <w:pStyle w:val="TableContents"/>
              <w:bidi w:val="0"/>
              <w:spacing w:lineRule="auto" w:line="300" w:before="0" w:after="0"/>
              <w:jc w:val="left"/>
              <w:rPr>
                <w:rFonts w:ascii="Times New Roman;serif" w:hAnsi="Times New Roman;serif"/>
                <w:color w:val="000000"/>
                <w:sz w:val="20"/>
              </w:rPr>
            </w:pPr>
            <w:r>
              <w:rPr>
                <w:rFonts w:ascii="Times New Roman;serif" w:hAnsi="Times New Roman;serif"/>
                <w:color w:val="000000"/>
                <w:sz w:val="20"/>
              </w:rPr>
              <w:t>Title:</w:t>
            </w:r>
          </w:p>
        </w:tc>
        <w:tc>
          <w:tcPr>
            <w:tcW w:w="1880" w:type="dxa"/>
            <w:tcBorders/>
            <w:vAlign w:val="center"/>
          </w:tcPr>
          <w:p>
            <w:pPr>
              <w:pStyle w:val="TableContents"/>
              <w:bidi w:val="0"/>
              <w:spacing w:lineRule="auto" w:line="300" w:before="0" w:after="0"/>
              <w:jc w:val="left"/>
              <w:rPr>
                <w:rFonts w:ascii="Times New Roman;serif" w:hAnsi="Times New Roman;serif"/>
                <w:color w:val="000000"/>
                <w:sz w:val="20"/>
              </w:rPr>
            </w:pPr>
            <w:r>
              <w:rPr>
                <w:rFonts w:ascii="Times New Roman;serif" w:hAnsi="Times New Roman;serif"/>
                <w:color w:val="000000"/>
                <w:sz w:val="20"/>
              </w:rPr>
              <w:t>Chief Financial Officer</w:t>
            </w:r>
          </w:p>
        </w:tc>
      </w:tr>
    </w:tbl>
    <w:p>
      <w:pPr>
        <w:pStyle w:val="TextBody"/>
        <w:bidi w:val="0"/>
        <w:spacing w:lineRule="auto" w:line="300" w:before="0" w:after="0"/>
        <w:jc w:val="left"/>
        <w:rPr>
          <w:color w:val="000000"/>
          <w:shd w:fill="FFFFFF" w:val="clear"/>
        </w:rPr>
      </w:pPr>
      <w:r>
        <w:rPr>
          <w:color w:val="000000"/>
          <w:shd w:fill="FFFFFF" w:val="clear"/>
        </w:rPr>
        <w:t> </w:t>
      </w:r>
    </w:p>
    <w:p>
      <w:pPr>
        <w:pStyle w:val="HorizontalLine"/>
        <w:bidi w:val="0"/>
        <w:spacing w:lineRule="auto" w:line="300"/>
        <w:jc w:val="left"/>
        <w:rPr/>
      </w:pPr>
      <w:r>
        <w:rPr/>
      </w:r>
    </w:p>
    <w:p>
      <w:pPr>
        <w:pStyle w:val="HorizontalLine"/>
        <w:bidi w:val="0"/>
        <w:jc w:val="left"/>
        <w:rPr/>
      </w:pPr>
      <w:r>
        <w:rPr/>
      </w:r>
      <w:bookmarkStart w:id="0" w:name="exhibit_4-1.htm"/>
      <w:bookmarkStart w:id="1" w:name="ksexhibit_41"/>
      <w:bookmarkStart w:id="2" w:name="exhibit_4-1.htm"/>
      <w:bookmarkStart w:id="3" w:name="ksexhibit_41"/>
      <w:bookmarkEnd w:id="2"/>
      <w:bookmarkEnd w:id="3"/>
      <w:r>
        <w:br w:type="page"/>
      </w:r>
    </w:p>
    <w:p>
      <w:pPr>
        <w:pStyle w:val="TextBody"/>
        <w:bidi w:val="0"/>
        <w:spacing w:before="0" w:after="0"/>
        <w:jc w:val="right"/>
        <w:rPr>
          <w:rFonts w:ascii="Times New Roman;Times;serif" w:hAnsi="Times New Roman;Times;serif"/>
          <w:color w:val="000000"/>
          <w:sz w:val="20"/>
          <w:u w:val="single"/>
        </w:rPr>
      </w:pPr>
      <w:r>
        <w:rPr>
          <w:rFonts w:ascii="Times New Roman;Times;serif" w:hAnsi="Times New Roman;Times;serif"/>
          <w:b/>
          <w:color w:val="000000"/>
          <w:sz w:val="20"/>
          <w:u w:val="single"/>
        </w:rPr>
        <w:t>Exhibit 4.</w:t>
      </w:r>
      <w:r>
        <w:rPr>
          <w:rFonts w:ascii="Times New Roman;Times;serif" w:hAnsi="Times New Roman;Times;serif"/>
          <w:color w:val="000000"/>
          <w:sz w:val="20"/>
          <w:u w:val="single"/>
        </w:rPr>
        <w:t>1</w:t>
      </w:r>
    </w:p>
    <w:p>
      <w:pPr>
        <w:pStyle w:val="TextBody"/>
        <w:bidi w:val="0"/>
        <w:spacing w:before="0" w:after="0"/>
        <w:jc w:val="left"/>
        <w:rPr/>
      </w:pPr>
      <w:r>
        <w:rPr/>
      </w:r>
    </w:p>
    <w:p>
      <w:pPr>
        <w:pStyle w:val="TextBody"/>
        <w:bidi w:val="0"/>
        <w:spacing w:lineRule="auto" w:line="300" w:before="0" w:after="0"/>
        <w:jc w:val="both"/>
        <w:rPr>
          <w:rFonts w:ascii="Times New Roman;Times;serif" w:hAnsi="Times New Roman;Times;serif"/>
          <w:b/>
          <w:color w:val="000000"/>
          <w:sz w:val="20"/>
        </w:rPr>
      </w:pPr>
      <w:r>
        <w:rPr>
          <w:rFonts w:ascii="Times New Roman;Times;serif" w:hAnsi="Times New Roman;Times;serif"/>
          <w:b/>
          <w:color w:val="000000"/>
          <w:sz w:val="20"/>
        </w:rPr>
        <w:t>THE SECURITIES REFERENCED HEREIN HAVE NOT BEEN REGISTERED UNDER THE SECURITIES ACT OF 1933, AND HAVE BEEN ACQUIRED FOR INVESTMENT AND NOT WITH A VIEW TO, OR IN CONNECTION WITH, THE SALE OR DISTRIBUTION THEREOF. NO SUCH SALE OR DISTRIBUTION MAY BE EFFECTED WITHOUT AN EFFECTIVE REGISTRATION STATEMENT RELATED THERETO OR AN OPINION OF COUNSEL IN A FORM SATISFACTORY TO THE COMPANY THAT SUCH REGISTRATION IS NOT REQUIRED UNDER THE SECURITIES ACT OF 1933.</w:t>
      </w:r>
    </w:p>
    <w:p>
      <w:pPr>
        <w:pStyle w:val="TextBody"/>
        <w:bidi w:val="0"/>
        <w:spacing w:lineRule="auto" w:line="300" w:before="0" w:after="0"/>
        <w:jc w:val="left"/>
        <w:rPr/>
      </w:pPr>
      <w:r>
        <w:rPr/>
      </w:r>
    </w:p>
    <w:p>
      <w:pPr>
        <w:pStyle w:val="TextBody"/>
        <w:bidi w:val="0"/>
        <w:spacing w:lineRule="auto" w:line="300" w:before="0" w:after="0"/>
        <w:jc w:val="both"/>
        <w:rPr>
          <w:rFonts w:ascii="Times New Roman;Times;serif" w:hAnsi="Times New Roman;Times;serif"/>
          <w:b/>
          <w:color w:val="000000"/>
          <w:sz w:val="20"/>
        </w:rPr>
      </w:pPr>
      <w:r>
        <w:rPr>
          <w:rFonts w:ascii="Times New Roman;Times;serif" w:hAnsi="Times New Roman;Times;serif"/>
          <w:b/>
          <w:color w:val="000000"/>
          <w:sz w:val="20"/>
        </w:rPr>
        <w:t>ANY TRANSFEREE OF THIS NOTE SHOULD CAREFULLY REVIEW THE TERMS OF THIS NOTE.  THE PRINCIPAL AMOUNT REPRESENTED BY THIS NOTE AND, ACCORDINGLY, THE SECURITIES ISSUABLE UPON CONVERSION HEREOF MAY BE LESS THAN THE AMOUNTS SET FORTH ON THE FACE HEREOF PURSUANT TO SECTION 4(a) OF THIS NOTE.</w:t>
      </w:r>
    </w:p>
    <w:p>
      <w:pPr>
        <w:pStyle w:val="TextBody"/>
        <w:bidi w:val="0"/>
        <w:spacing w:lineRule="auto" w:line="300" w:before="0" w:after="0"/>
        <w:jc w:val="left"/>
        <w:rPr/>
      </w:pPr>
      <w:r>
        <w:rPr/>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Original Issue Date: [______]</w:t>
      </w:r>
    </w:p>
    <w:p>
      <w:pPr>
        <w:pStyle w:val="TextBody"/>
        <w:bidi w:val="0"/>
        <w:spacing w:lineRule="auto" w:line="300" w:before="0" w:after="0"/>
        <w:jc w:val="right"/>
        <w:rPr>
          <w:rFonts w:ascii="Times New Roman;Times;serif" w:hAnsi="Times New Roman;Times;serif"/>
          <w:color w:val="000000"/>
          <w:sz w:val="20"/>
        </w:rPr>
      </w:pPr>
      <w:r>
        <w:rPr>
          <w:rFonts w:ascii="Times New Roman;Times;serif" w:hAnsi="Times New Roman;Times;serif"/>
          <w:color w:val="000000"/>
          <w:sz w:val="20"/>
        </w:rPr>
        <w:t>$[_____]</w:t>
      </w:r>
    </w:p>
    <w:p>
      <w:pPr>
        <w:pStyle w:val="TextBody"/>
        <w:bidi w:val="0"/>
        <w:spacing w:lineRule="auto" w:line="300" w:before="0" w:after="0"/>
        <w:jc w:val="left"/>
        <w:rPr/>
      </w:pPr>
      <w:r>
        <w:rPr/>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AMENDED AND RESTATED SENIOR SECURED CONVERTIBLE NOTE</w:t>
      </w:r>
    </w:p>
    <w:p>
      <w:pPr>
        <w:pStyle w:val="TextBody"/>
        <w:bidi w:val="0"/>
        <w:spacing w:lineRule="auto" w:line="300" w:before="0" w:after="0"/>
        <w:jc w:val="left"/>
        <w:rPr/>
      </w:pPr>
      <w:r>
        <w:rPr/>
      </w:r>
    </w:p>
    <w:p>
      <w:pPr>
        <w:pStyle w:val="TextBody"/>
        <w:bidi w:val="0"/>
        <w:spacing w:lineRule="auto" w:line="300" w:before="0" w:after="0"/>
        <w:ind w:left="0" w:right="0" w:firstLine="916"/>
        <w:jc w:val="both"/>
        <w:rPr>
          <w:rFonts w:ascii="Times New Roman;Times;serif" w:hAnsi="Times New Roman;Times;serif"/>
          <w:color w:val="000000"/>
          <w:sz w:val="20"/>
        </w:rPr>
      </w:pPr>
      <w:r>
        <w:rPr>
          <w:rFonts w:ascii="Times New Roman;Times;serif" w:hAnsi="Times New Roman;Times;serif"/>
          <w:color w:val="000000"/>
          <w:sz w:val="20"/>
        </w:rPr>
        <w:t>THIS AMENDED AND RESTATED SENIOR SECURED CONVERTIBLE NOTE is one of a series of duly authorized and validly issued Senior Secured Convertible Notes of Lifeward Ltd., an Israeli company (the “</w:t>
      </w:r>
      <w:r>
        <w:rPr>
          <w:rFonts w:ascii="Times New Roman;Times;serif" w:hAnsi="Times New Roman;Times;serif"/>
          <w:color w:val="000000"/>
          <w:sz w:val="20"/>
          <w:u w:val="single"/>
        </w:rPr>
        <w:t>Company</w:t>
      </w:r>
      <w:r>
        <w:rPr>
          <w:rFonts w:ascii="Times New Roman;Times;serif" w:hAnsi="Times New Roman;Times;serif"/>
          <w:color w:val="000000"/>
          <w:sz w:val="20"/>
        </w:rPr>
        <w:t>”), designated as its Senior Secured Convertible Note (this note, the “</w:t>
      </w:r>
      <w:r>
        <w:rPr>
          <w:rFonts w:ascii="Times New Roman;Times;serif" w:hAnsi="Times New Roman;Times;serif"/>
          <w:color w:val="000000"/>
          <w:sz w:val="20"/>
          <w:u w:val="single"/>
        </w:rPr>
        <w:t>Note</w:t>
      </w:r>
      <w:r>
        <w:rPr>
          <w:rFonts w:ascii="Times New Roman;Times;serif" w:hAnsi="Times New Roman;Times;serif"/>
          <w:color w:val="000000"/>
          <w:sz w:val="20"/>
        </w:rPr>
        <w:t>” and, collectively with the other notes of such series, the “</w:t>
      </w:r>
      <w:r>
        <w:rPr>
          <w:rFonts w:ascii="Times New Roman;Times;serif" w:hAnsi="Times New Roman;Times;serif"/>
          <w:color w:val="000000"/>
          <w:sz w:val="20"/>
          <w:u w:val="single"/>
        </w:rPr>
        <w:t>Notes</w:t>
      </w:r>
      <w:r>
        <w:rPr>
          <w:rFonts w:ascii="Times New Roman;Times;serif" w:hAnsi="Times New Roman;Times;serif"/>
          <w:color w:val="000000"/>
          <w:sz w:val="20"/>
        </w:rPr>
        <w:t>”) and is issued pursuant to the Purchase Agreement (as defined below).</w:t>
      </w:r>
    </w:p>
    <w:p>
      <w:pPr>
        <w:pStyle w:val="TextBody"/>
        <w:bidi w:val="0"/>
        <w:spacing w:lineRule="auto" w:line="300" w:before="0" w:after="0"/>
        <w:jc w:val="left"/>
        <w:rPr/>
      </w:pPr>
      <w:r>
        <w:rPr/>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FOR VALUE RECEIVED, the Company promises to pay to [______] or its registered permitted assigns (the “</w:t>
      </w:r>
      <w:r>
        <w:rPr>
          <w:rFonts w:ascii="Times New Roman;Times;serif" w:hAnsi="Times New Roman;Times;serif"/>
          <w:color w:val="000000"/>
          <w:sz w:val="20"/>
          <w:u w:val="single"/>
        </w:rPr>
        <w:t>Holder</w:t>
      </w:r>
      <w:r>
        <w:rPr>
          <w:rFonts w:ascii="Times New Roman;Times;serif" w:hAnsi="Times New Roman;Times;serif"/>
          <w:color w:val="000000"/>
          <w:sz w:val="20"/>
        </w:rPr>
        <w:t>”), or shall have paid pursuant to the terms hereunder, the principal sum of up to $[______] on [_________] (the “</w:t>
      </w:r>
      <w:r>
        <w:rPr>
          <w:rFonts w:ascii="Times New Roman;Times;serif" w:hAnsi="Times New Roman;Times;serif"/>
          <w:color w:val="000000"/>
          <w:sz w:val="20"/>
          <w:u w:val="single"/>
        </w:rPr>
        <w:t>Maturity Date</w:t>
      </w:r>
      <w:r>
        <w:rPr>
          <w:rFonts w:ascii="Times New Roman;Times;serif" w:hAnsi="Times New Roman;Times;serif"/>
          <w:color w:val="000000"/>
          <w:sz w:val="20"/>
        </w:rPr>
        <w:t>”), or such earlier date as this Note is required or permitted to be repaid or converted as provided hereunder; provided, however, that the Maturity Date may be extended by the written mutual consent of the Company and the Required Holder. On the Maturity Date, the Company promises to pay to the Holder, or shall have paid pursuant to the terms hereunder, any interest to the Holder on the aggregate unconverted and then outstanding principal amount of this Note in accordance with the provisions hereof.  This Note is subject to the following additional provisions:</w:t>
      </w:r>
    </w:p>
    <w:p>
      <w:pPr>
        <w:pStyle w:val="TextBody"/>
        <w:bidi w:val="0"/>
        <w:spacing w:lineRule="auto" w:line="300" w:before="0" w:after="0"/>
        <w:jc w:val="left"/>
        <w:rPr/>
      </w:pPr>
      <w:r>
        <w:rPr/>
      </w:r>
    </w:p>
    <w:p>
      <w:pPr>
        <w:pStyle w:val="TextBody"/>
        <w:bidi w:val="0"/>
        <w:spacing w:lineRule="auto" w:line="300" w:before="0" w:after="0"/>
        <w:ind w:left="0" w:right="0" w:firstLine="710"/>
        <w:jc w:val="both"/>
        <w:rPr>
          <w:rFonts w:ascii="Times New Roman;Times;serif" w:hAnsi="Times New Roman;Times;serif"/>
          <w:color w:val="000000"/>
          <w:sz w:val="20"/>
        </w:rPr>
      </w:pPr>
      <w:r>
        <w:rPr>
          <w:rFonts w:ascii="Times New Roman;Times;serif" w:hAnsi="Times New Roman;Times;serif"/>
          <w:color w:val="000000"/>
          <w:sz w:val="20"/>
          <w:u w:val="single"/>
        </w:rPr>
        <w:t>Section 1.</w:t>
      </w:r>
      <w:r>
        <w:rPr>
          <w:rFonts w:ascii="Times New Roman;Times;serif" w:hAnsi="Times New Roman;Times;serif"/>
          <w:color w:val="000000"/>
          <w:sz w:val="20"/>
        </w:rPr>
        <w:t>          </w:t>
      </w:r>
      <w:r>
        <w:rPr>
          <w:rFonts w:ascii="Times New Roman;Times;serif" w:hAnsi="Times New Roman;Times;serif"/>
          <w:color w:val="000000"/>
          <w:sz w:val="20"/>
          <w:u w:val="single"/>
        </w:rPr>
        <w:t>Definitions</w:t>
      </w:r>
      <w:r>
        <w:rPr>
          <w:rFonts w:ascii="Times New Roman;Times;serif" w:hAnsi="Times New Roman;Times;serif"/>
          <w:color w:val="000000"/>
          <w:sz w:val="20"/>
        </w:rPr>
        <w:t>.  For the purposes hereof, in addition to the terms defined elsewhere in this Note, (a) capitalized terms not otherwise defined herein shall have the meanings set forth in the Purchase Agreement, and (b) the following terms shall have the following meanings: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color w:val="000000"/>
        </w:rPr>
      </w:pPr>
      <w:r>
        <w:rPr>
          <w:color w:val="000000"/>
        </w:rPr>
        <w:t>“</w:t>
      </w:r>
      <w:r>
        <w:rPr>
          <w:rFonts w:ascii="Times New Roman;Times;serif" w:hAnsi="Times New Roman;Times;serif"/>
          <w:color w:val="000000"/>
          <w:sz w:val="20"/>
          <w:u w:val="single"/>
        </w:rPr>
        <w:t>Bankruptcy Event</w:t>
      </w:r>
      <w:r>
        <w:rPr>
          <w:rFonts w:ascii="Times New Roman;Times;serif" w:hAnsi="Times New Roman;Times;serif"/>
          <w:color w:val="000000"/>
          <w:sz w:val="20"/>
        </w:rPr>
        <w:t>” means any of the following events: (a) the Company or any Subsidiary thereof commences a case or other proceeding under any bankruptcy, reorganization, winding-up, arrangement, adjustment of debt, relief of debtors, dissolution, insolvency, or liquidation or similar law of any jurisdiction relating to the Company or any Subsidiary thereof, (b) there is commenced against the Company or any Subsidiary thereof any such case or proceeding that is not dismissed within 60 days after commencement, (c) the Company or any Subsidiary thereof is adjudicated insolvent or bankrupt or any order of relief or other order approving as properly filed a petition seeking the insolvency, bankruptcy, reorganization, winding-up, arrangement, adjustment of debt, relief of debtors, dissolution, liquidation or any similar proceeding is entered, (d) the Company or any Subsidiary thereof suffers any appointment of any custodian, receiver, liquidator or the like for it or any substantial part of its property that is not discharged or stayed within 60 calendar days after such appointment, (e) the Company or any Subsidiary thereof makes a general assignment for the benefit of creditors, (f) the Company or any Subsidiary thereof calls a meeting of its creditors with a view to arranging a composition, adjustment or restructuring of its debts, (g) the Company or any Subsidiary thereof admits in writing that it is generally unable to pay its debts as they become due, or (h) the Company or any Subsidiary thereof, by any act or failure to act, expressly indicates its consent to, approval of or acquiescence in any of the foregoing or takes any corporate or other action for the purpose of effecting any of the foregoing.</w:t>
      </w:r>
    </w:p>
    <w:p>
      <w:pPr>
        <w:pStyle w:val="TextBody"/>
        <w:bidi w:val="0"/>
        <w:spacing w:lineRule="auto" w:line="300"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lineRule="auto" w:line="300" w:before="0" w:after="0"/>
        <w:ind w:left="720" w:right="0" w:firstLine="720"/>
        <w:jc w:val="both"/>
        <w:rPr>
          <w:color w:val="000000"/>
        </w:rPr>
      </w:pPr>
      <w:r>
        <w:rPr>
          <w:color w:val="000000"/>
        </w:rPr>
        <w:t>“</w:t>
      </w:r>
      <w:r>
        <w:rPr>
          <w:rFonts w:ascii="Times New Roman;Times;serif" w:hAnsi="Times New Roman;Times;serif"/>
          <w:color w:val="000000"/>
          <w:sz w:val="20"/>
          <w:u w:val="single"/>
        </w:rPr>
        <w:t>Beneficial Ownership Limitation</w:t>
      </w:r>
      <w:r>
        <w:rPr>
          <w:rFonts w:ascii="Times New Roman;Times;serif" w:hAnsi="Times New Roman;Times;serif"/>
          <w:color w:val="000000"/>
          <w:sz w:val="20"/>
        </w:rPr>
        <w:t>” shall have the meaning set forth in Section 4(d).</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color w:val="000000"/>
        </w:rPr>
      </w:pPr>
      <w:r>
        <w:rPr>
          <w:color w:val="000000"/>
        </w:rPr>
        <w:t>“</w:t>
      </w:r>
      <w:r>
        <w:rPr>
          <w:rFonts w:ascii="Times New Roman;Times;serif" w:hAnsi="Times New Roman;Times;serif"/>
          <w:color w:val="000000"/>
          <w:sz w:val="20"/>
          <w:u w:val="single"/>
        </w:rPr>
        <w:t>Business Day</w:t>
      </w:r>
      <w:r>
        <w:rPr>
          <w:rFonts w:ascii="Times New Roman;Times;serif" w:hAnsi="Times New Roman;Times;serif"/>
          <w:color w:val="000000"/>
          <w:sz w:val="20"/>
        </w:rPr>
        <w:t xml:space="preserve">” means any day other than Saturday, Sunday or other day on which commercial banks in the City of New York are authorized or required by law to remain closed;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however</w:t>
      </w:r>
      <w:r>
        <w:rPr>
          <w:rFonts w:ascii="Times New Roman;Times;serif" w:hAnsi="Times New Roman;Times;serif"/>
          <w:color w:val="000000"/>
          <w:sz w:val="20"/>
        </w:rPr>
        <w:t>, for clarification, commercial banks shall not be deemed to be authorized or required by law to remain closed due to “stay at home”, “shelter-in-place”, “non-essential employee”  or any other similar orders or restrictions or the closure of any physical branch locations at the direction of any governmental authority so long as the electronic funds transfer systems (including for wire transfers) of commercial banks in the City of New York are generally open for use by customers on such day.</w:t>
      </w:r>
    </w:p>
    <w:p>
      <w:pPr>
        <w:pStyle w:val="TextBody"/>
        <w:bidi w:val="0"/>
        <w:spacing w:lineRule="auto" w:line="300" w:before="0" w:after="0"/>
        <w:jc w:val="left"/>
        <w:rPr/>
      </w:pPr>
      <w:r>
        <w:rPr/>
      </w:r>
    </w:p>
    <w:p>
      <w:pPr>
        <w:pStyle w:val="TextBody"/>
        <w:bidi w:val="0"/>
        <w:spacing w:lineRule="auto" w:line="300" w:before="0" w:after="0"/>
        <w:ind w:left="720" w:right="0" w:firstLine="720"/>
        <w:jc w:val="both"/>
        <w:rPr>
          <w:color w:val="000000"/>
        </w:rPr>
      </w:pPr>
      <w:r>
        <w:rPr>
          <w:color w:val="000000"/>
        </w:rPr>
        <w:t>“</w:t>
      </w:r>
      <w:r>
        <w:rPr>
          <w:rFonts w:ascii="Times New Roman;Times;serif" w:hAnsi="Times New Roman;Times;serif"/>
          <w:color w:val="000000"/>
          <w:sz w:val="20"/>
          <w:u w:val="single"/>
        </w:rPr>
        <w:t>Change of Control Transaction</w:t>
      </w:r>
      <w:r>
        <w:rPr>
          <w:rFonts w:ascii="Times New Roman;Times;serif" w:hAnsi="Times New Roman;Times;serif"/>
          <w:color w:val="000000"/>
          <w:sz w:val="20"/>
        </w:rPr>
        <w:t>” means the occurrence after the Original Issue Date of any of (a) an acquisition after the Original Issue Date by an individual or legal entity or “group” (as described in Rule 13d-5(b)(1) promulgated under the Exchange Act) of effective control (whether through legal or beneficial ownership of the share capital of the Company, by contract or otherwise) of in excess of 50% of the voting power of the Company (other than by means of conversion of the Notes and the Additional Notes, or exercise of the Initial Warrants and Additional Warrants issued with the Notes and Additional Noates, respectively), (b) the Company merges into or consolidates with any other Person, or any Person merges into or consolidates with the Company and, after giving effect to such transaction, the shareholders of the Company immediately prior to such transaction own less than 50% of the aggregate voting power of the Company or the successor entity of such transaction, (c) the Company (and all of its Subsidiaries, taken as a whole) sells or transfers all or substantially all of its assets to another Person, (d) a replacement at one time or within a one year period of more than one-half of the members of the Board of Directors which is not approved by a majority of those individuals who are members of the Board of Directors on the Original Issue Date (or by those individuals who are serving as members of the Board of Directors on any date whose nomination to the Board of Directors was approved by a majority of the members of the Board of Directors who are members on the Original Issue Date), or (e) the execution by the Company of an agreement to which the Company is a party or by which it is bound, providing for any of the events set forth in clauses (a) through (d) above.</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w:t>
      </w:r>
    </w:p>
    <w:p>
      <w:pPr>
        <w:pStyle w:val="HorizontalLine"/>
        <w:pBdr>
          <w:bottom w:val="single" w:sz="12" w:space="0" w:color="808080"/>
        </w:pBdr>
        <w:bidi w:val="0"/>
        <w:spacing w:before="200" w:after="200"/>
        <w:jc w:val="left"/>
        <w:rPr/>
      </w:pPr>
      <w:r>
        <w:rPr/>
      </w:r>
    </w:p>
    <w:p>
      <w:pPr>
        <w:pStyle w:val="TextBody"/>
        <w:bidi w:val="0"/>
        <w:spacing w:lineRule="auto" w:line="300" w:before="0" w:after="0"/>
        <w:ind w:left="720" w:right="0" w:firstLine="720"/>
        <w:jc w:val="both"/>
        <w:rPr>
          <w:color w:val="000000"/>
        </w:rPr>
      </w:pPr>
      <w:r>
        <w:rPr>
          <w:color w:val="000000"/>
        </w:rPr>
        <w:t>“</w:t>
      </w:r>
      <w:r>
        <w:rPr>
          <w:rFonts w:ascii="Times New Roman;Times;serif" w:hAnsi="Times New Roman;Times;serif"/>
          <w:color w:val="000000"/>
          <w:sz w:val="20"/>
          <w:u w:val="single"/>
        </w:rPr>
        <w:t>Collateral</w:t>
      </w:r>
      <w:r>
        <w:rPr>
          <w:rFonts w:ascii="Times New Roman;Times;serif" w:hAnsi="Times New Roman;Times;serif"/>
          <w:color w:val="000000"/>
          <w:sz w:val="20"/>
        </w:rPr>
        <w:t>” shall have the meaning ascribed to such term in the Security Agreement.</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color w:val="000000"/>
        </w:rPr>
      </w:pPr>
      <w:r>
        <w:rPr>
          <w:color w:val="000000"/>
        </w:rPr>
        <w:t>“</w:t>
      </w:r>
      <w:r>
        <w:rPr>
          <w:rFonts w:ascii="Times New Roman;Times;serif" w:hAnsi="Times New Roman;Times;serif"/>
          <w:color w:val="000000"/>
          <w:sz w:val="20"/>
          <w:u w:val="single"/>
        </w:rPr>
        <w:t>Conversion Date</w:t>
      </w:r>
      <w:r>
        <w:rPr>
          <w:rFonts w:ascii="Times New Roman;Times;serif" w:hAnsi="Times New Roman;Times;serif"/>
          <w:color w:val="000000"/>
          <w:sz w:val="20"/>
        </w:rPr>
        <w:t>” shall have the meaning set forth in Section 4(a).</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color w:val="000000"/>
        </w:rPr>
      </w:pPr>
      <w:r>
        <w:rPr>
          <w:color w:val="000000"/>
        </w:rPr>
        <w:t>“</w:t>
      </w:r>
      <w:r>
        <w:rPr>
          <w:rFonts w:ascii="Times New Roman;Times;serif" w:hAnsi="Times New Roman;Times;serif"/>
          <w:color w:val="000000"/>
          <w:sz w:val="20"/>
          <w:u w:val="single"/>
        </w:rPr>
        <w:t>Conversion Price</w:t>
      </w:r>
      <w:r>
        <w:rPr>
          <w:rFonts w:ascii="Times New Roman;Times;serif" w:hAnsi="Times New Roman;Times;serif"/>
          <w:color w:val="000000"/>
          <w:sz w:val="20"/>
        </w:rPr>
        <w:t>” shall have the meaning set forth in Section 4(b).</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color w:val="000000"/>
        </w:rPr>
      </w:pPr>
      <w:r>
        <w:rPr>
          <w:color w:val="000000"/>
        </w:rPr>
        <w:t>“</w:t>
      </w:r>
      <w:r>
        <w:rPr>
          <w:rFonts w:ascii="Times New Roman;Times;serif" w:hAnsi="Times New Roman;Times;serif"/>
          <w:color w:val="000000"/>
          <w:sz w:val="20"/>
          <w:u w:val="single"/>
        </w:rPr>
        <w:t>Conversion Shares</w:t>
      </w:r>
      <w:r>
        <w:rPr>
          <w:rFonts w:ascii="Times New Roman;Times;serif" w:hAnsi="Times New Roman;Times;serif"/>
          <w:color w:val="000000"/>
          <w:sz w:val="20"/>
        </w:rPr>
        <w:t>” means, collectively, Ordinary Shares issuable upon conversion of this Note in accordance with the terms hereof.</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color w:val="000000"/>
        </w:rPr>
      </w:pPr>
      <w:r>
        <w:rPr>
          <w:color w:val="000000"/>
        </w:rPr>
        <w:t>“</w:t>
      </w:r>
      <w:r>
        <w:rPr>
          <w:rFonts w:ascii="Times New Roman;Times;serif" w:hAnsi="Times New Roman;Times;serif"/>
          <w:color w:val="000000"/>
          <w:sz w:val="20"/>
          <w:u w:val="single"/>
        </w:rPr>
        <w:t>Disqualified Stock</w:t>
      </w:r>
      <w:r>
        <w:rPr>
          <w:rFonts w:ascii="Times New Roman;Times;serif" w:hAnsi="Times New Roman;Times;serif"/>
          <w:color w:val="000000"/>
          <w:sz w:val="20"/>
        </w:rPr>
        <w:t>” mean, with respect to any person, any equity interests of such person that, by its terms (or by the terms of any security or other equity interests into which it is convertible or exercisable or for which it is exchangeable) or upon the happening of any event or condition (a) matures or is mandatorily redeemable, pursuant to a sinking fund obligation or otherwise, (b) is redeemable at the option of the holder thereof, in whole or in part, (c) provides for the scheduled payments of dividends in cash, or (d) is or becomes convertible or exercisable into or exchangeable for Indebtedness or any other equity interests that would constitute Disqualified Stock.</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color w:val="000000"/>
        </w:rPr>
      </w:pPr>
      <w:r>
        <w:rPr>
          <w:color w:val="000000"/>
        </w:rPr>
        <w:t>“</w:t>
      </w:r>
      <w:r>
        <w:rPr>
          <w:rFonts w:ascii="Times New Roman;Times;serif" w:hAnsi="Times New Roman;Times;serif"/>
          <w:color w:val="000000"/>
          <w:sz w:val="20"/>
          <w:u w:val="single"/>
        </w:rPr>
        <w:t>Event of Default</w:t>
      </w:r>
      <w:r>
        <w:rPr>
          <w:rFonts w:ascii="Times New Roman;Times;serif" w:hAnsi="Times New Roman;Times;serif"/>
          <w:color w:val="000000"/>
          <w:sz w:val="20"/>
        </w:rPr>
        <w:t>” shall have the meaning set forth in Section 8(a).</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color w:val="000000"/>
        </w:rPr>
      </w:pPr>
      <w:r>
        <w:rPr>
          <w:color w:val="000000"/>
        </w:rPr>
        <w:t>“</w:t>
      </w:r>
      <w:r>
        <w:rPr>
          <w:rFonts w:ascii="Times New Roman;Times;serif" w:hAnsi="Times New Roman;Times;serif"/>
          <w:color w:val="000000"/>
          <w:sz w:val="20"/>
          <w:u w:val="single"/>
        </w:rPr>
        <w:t>Indebtedness</w:t>
      </w:r>
      <w:r>
        <w:rPr>
          <w:rFonts w:ascii="Times New Roman;Times;serif" w:hAnsi="Times New Roman;Times;serif"/>
          <w:color w:val="000000"/>
          <w:sz w:val="20"/>
        </w:rPr>
        <w:t>” of a Person shall include (a) all obligations for borrowed money or the deferred purchase price of property or services (excluding trade accounts payable incurred in the ordinary course of business), (b) all obligations evidenced by bonds, debentures, notes, or other similar instruments and all reimbursement or other obligations in respect of letters of credit, surety bonds, bankers acceptances, current swap agreements, interest rate hedging agreements, interest rate swaps or other financial products, (c) all capital lease obligations (as determined in accordance with GAAP, subject, to the proviso set forth in the definition of GAAP under the Purchase Agreement), (d) all obligations or liabilities secured by a Lien on any asset of such Person, irrespective of whether such obligation or liability is assumed by such Person (limited to the lesser of (x) the outstanding principal amount of such obligations or liabilities and (y) the fair market value of such asset), (e) any obligation arising with respect to any other transaction that is the functional equivalent of borrowing but which does not constitute a liability on the balance sheets of such Person, (f) Disqualified Stock, and (g) any obligation guaranteeing or intended to guarantee (whether directly or indirectly guaranteed, endorsed, co-made, discounted or sold with recourse) any of the foregoing obligations of any other Person.</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color w:val="000000"/>
        </w:rPr>
      </w:pPr>
      <w:r>
        <w:rPr>
          <w:color w:val="000000"/>
        </w:rPr>
        <w:t>“</w:t>
      </w:r>
      <w:r>
        <w:rPr>
          <w:rFonts w:ascii="Times New Roman;Times;serif" w:hAnsi="Times New Roman;Times;serif"/>
          <w:color w:val="000000"/>
          <w:sz w:val="20"/>
          <w:u w:val="single"/>
        </w:rPr>
        <w:t>Interest Accrual Date</w:t>
      </w:r>
      <w:r>
        <w:rPr>
          <w:rFonts w:ascii="Times New Roman;Times;serif" w:hAnsi="Times New Roman;Times;serif"/>
          <w:color w:val="000000"/>
          <w:sz w:val="20"/>
        </w:rPr>
        <w:t>” shall have the meaning set forth in Section 8(b).</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color w:val="000000"/>
        </w:rPr>
      </w:pPr>
      <w:r>
        <w:rPr>
          <w:color w:val="000000"/>
        </w:rPr>
        <w:t>“</w:t>
      </w:r>
      <w:r>
        <w:rPr>
          <w:rFonts w:ascii="Times New Roman;Times;serif" w:hAnsi="Times New Roman;Times;serif"/>
          <w:color w:val="000000"/>
          <w:sz w:val="20"/>
          <w:u w:val="single"/>
        </w:rPr>
        <w:t>Interest Payment Date</w:t>
      </w:r>
      <w:r>
        <w:rPr>
          <w:rFonts w:ascii="Times New Roman;Times;serif" w:hAnsi="Times New Roman;Times;serif"/>
          <w:color w:val="000000"/>
          <w:sz w:val="20"/>
        </w:rPr>
        <w:t>” shall have the meaning set forth in Section 2(a).</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3</w:t>
      </w:r>
    </w:p>
    <w:p>
      <w:pPr>
        <w:pStyle w:val="HorizontalLine"/>
        <w:pBdr>
          <w:bottom w:val="single" w:sz="12" w:space="0" w:color="808080"/>
        </w:pBdr>
        <w:bidi w:val="0"/>
        <w:spacing w:before="200" w:after="200"/>
        <w:jc w:val="left"/>
        <w:rPr/>
      </w:pPr>
      <w:r>
        <w:rPr/>
      </w:r>
    </w:p>
    <w:p>
      <w:pPr>
        <w:pStyle w:val="TextBody"/>
        <w:bidi w:val="0"/>
        <w:spacing w:lineRule="auto" w:line="300" w:before="0" w:after="0"/>
        <w:ind w:left="720" w:right="0" w:firstLine="720"/>
        <w:jc w:val="both"/>
        <w:rPr>
          <w:color w:val="000000"/>
        </w:rPr>
      </w:pPr>
      <w:r>
        <w:rPr>
          <w:color w:val="000000"/>
        </w:rPr>
        <w:t>“</w:t>
      </w:r>
      <w:r>
        <w:rPr>
          <w:rFonts w:ascii="Times New Roman;Times;serif" w:hAnsi="Times New Roman;Times;serif"/>
          <w:color w:val="000000"/>
          <w:sz w:val="20"/>
          <w:u w:val="single"/>
        </w:rPr>
        <w:t>Investments</w:t>
      </w:r>
      <w:r>
        <w:rPr>
          <w:rFonts w:ascii="Times New Roman;Times;serif" w:hAnsi="Times New Roman;Times;serif"/>
          <w:color w:val="000000"/>
          <w:sz w:val="20"/>
        </w:rPr>
        <w:t>” means, as to any Person, any direct or indirect acquisition or investment by such Person by means of (a) the purchase or other acquisition (including by merger) of equity interests of another Person, (b) a loan, advance or capital contribution to, guarantee or assumption of debt of, or purchase or other acquisition of any other debt or interest in, another Person, or (c) the purchase or other acquisition (in one transaction or a series of transactions) of assets of another Person that constitute a business unit or all or a substantial part of the business of, such Person.</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color w:val="000000"/>
        </w:rPr>
      </w:pPr>
      <w:r>
        <w:rPr>
          <w:color w:val="000000"/>
        </w:rPr>
        <w:t>“</w:t>
      </w:r>
      <w:r>
        <w:rPr>
          <w:rFonts w:ascii="Times New Roman;Times;serif" w:hAnsi="Times New Roman;Times;serif"/>
          <w:color w:val="000000"/>
          <w:sz w:val="20"/>
          <w:u w:val="single"/>
        </w:rPr>
        <w:t>June 2026 Additional Notes</w:t>
      </w:r>
      <w:r>
        <w:rPr>
          <w:rFonts w:ascii="Times New Roman;Times;serif" w:hAnsi="Times New Roman;Times;serif"/>
          <w:color w:val="000000"/>
          <w:sz w:val="20"/>
        </w:rPr>
        <w:t>” means any additional senior secured convertible notes issued from time to time pursuant to the June 2026 SPA in one or more additional closings.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color w:val="000000"/>
        </w:rPr>
      </w:pPr>
      <w:r>
        <w:rPr>
          <w:color w:val="000000"/>
        </w:rPr>
        <w:t>“</w:t>
      </w:r>
      <w:r>
        <w:rPr>
          <w:rFonts w:ascii="Times New Roman;Times;serif" w:hAnsi="Times New Roman;Times;serif"/>
          <w:color w:val="000000"/>
          <w:sz w:val="20"/>
          <w:u w:val="single"/>
        </w:rPr>
        <w:t>June 2026 Initial Notes</w:t>
      </w:r>
      <w:r>
        <w:rPr>
          <w:rFonts w:ascii="Times New Roman;Times;serif" w:hAnsi="Times New Roman;Times;serif"/>
          <w:color w:val="000000"/>
          <w:sz w:val="20"/>
        </w:rPr>
        <w:t>” means those certain Senior Secured Convertible Notes, issued by the Company pursuant to that certain Securities Purchase Agreement, dated on or about June 30, 2026, between the Company and the purchasers party thereto (“</w:t>
      </w:r>
      <w:r>
        <w:rPr>
          <w:rFonts w:ascii="Times New Roman;Times;serif" w:hAnsi="Times New Roman;Times;serif"/>
          <w:color w:val="000000"/>
          <w:sz w:val="20"/>
          <w:u w:val="single"/>
        </w:rPr>
        <w:t>June 2026 SPA</w:t>
      </w:r>
      <w:r>
        <w:rPr>
          <w:rFonts w:ascii="Times New Roman;Times;serif" w:hAnsi="Times New Roman;Times;serif"/>
          <w:color w:val="000000"/>
          <w:sz w:val="20"/>
        </w:rPr>
        <w:t>”).</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color w:val="000000"/>
        </w:rPr>
      </w:pPr>
      <w:r>
        <w:rPr>
          <w:color w:val="000000"/>
        </w:rPr>
        <w:t>“</w:t>
      </w:r>
      <w:r>
        <w:rPr>
          <w:rFonts w:ascii="Times New Roman;Times;serif" w:hAnsi="Times New Roman;Times;serif"/>
          <w:color w:val="000000"/>
          <w:sz w:val="20"/>
          <w:u w:val="single"/>
        </w:rPr>
        <w:t>June 2026 Notes</w:t>
      </w:r>
      <w:r>
        <w:rPr>
          <w:rFonts w:ascii="Times New Roman;Times;serif" w:hAnsi="Times New Roman;Times;serif"/>
          <w:color w:val="000000"/>
          <w:sz w:val="20"/>
        </w:rPr>
        <w:t>” means the June 2026 Initial Notes and the June 2026 Additional Notes.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color w:val="000000"/>
        </w:rPr>
      </w:pPr>
      <w:r>
        <w:rPr>
          <w:color w:val="000000"/>
        </w:rPr>
        <w:t>“</w:t>
      </w:r>
      <w:r>
        <w:rPr>
          <w:rFonts w:ascii="Times New Roman;Times;serif" w:hAnsi="Times New Roman;Times;serif"/>
          <w:color w:val="000000"/>
          <w:sz w:val="20"/>
          <w:u w:val="single"/>
        </w:rPr>
        <w:t>Late Fees</w:t>
      </w:r>
      <w:r>
        <w:rPr>
          <w:rFonts w:ascii="Times New Roman;Times;serif" w:hAnsi="Times New Roman;Times;serif"/>
          <w:color w:val="000000"/>
          <w:sz w:val="20"/>
        </w:rPr>
        <w:t>” shall have the meaning set forth in Section 2(c).</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color w:val="000000"/>
        </w:rPr>
      </w:pPr>
      <w:r>
        <w:rPr>
          <w:color w:val="000000"/>
        </w:rPr>
        <w:t>“</w:t>
      </w:r>
      <w:r>
        <w:rPr>
          <w:rFonts w:ascii="Times New Roman;Times;serif" w:hAnsi="Times New Roman;Times;serif"/>
          <w:color w:val="000000"/>
          <w:sz w:val="20"/>
          <w:u w:val="single"/>
        </w:rPr>
        <w:t>New York Courts</w:t>
      </w:r>
      <w:r>
        <w:rPr>
          <w:rFonts w:ascii="Times New Roman;Times;serif" w:hAnsi="Times New Roman;Times;serif"/>
          <w:color w:val="000000"/>
          <w:sz w:val="20"/>
        </w:rPr>
        <w:t>” shall have the meaning set forth in Section 10(d).</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color w:val="000000"/>
        </w:rPr>
      </w:pPr>
      <w:r>
        <w:rPr>
          <w:color w:val="000000"/>
        </w:rPr>
        <w:t>“</w:t>
      </w:r>
      <w:r>
        <w:rPr>
          <w:rFonts w:ascii="Times New Roman;Times;serif" w:hAnsi="Times New Roman;Times;serif"/>
          <w:color w:val="000000"/>
          <w:sz w:val="20"/>
          <w:u w:val="single"/>
        </w:rPr>
        <w:t>Note Register</w:t>
      </w:r>
      <w:r>
        <w:rPr>
          <w:rFonts w:ascii="Times New Roman;Times;serif" w:hAnsi="Times New Roman;Times;serif"/>
          <w:color w:val="000000"/>
          <w:sz w:val="20"/>
        </w:rPr>
        <w:t>” shall have the meaning set forth in Section 2(b).</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color w:val="000000"/>
        </w:rPr>
      </w:pPr>
      <w:r>
        <w:rPr>
          <w:color w:val="000000"/>
        </w:rPr>
        <w:t>“</w:t>
      </w:r>
      <w:r>
        <w:rPr>
          <w:rFonts w:ascii="Times New Roman;Times;serif" w:hAnsi="Times New Roman;Times;serif"/>
          <w:color w:val="000000"/>
          <w:sz w:val="20"/>
          <w:u w:val="single"/>
        </w:rPr>
        <w:t>Notice of Conversion</w:t>
      </w:r>
      <w:r>
        <w:rPr>
          <w:rFonts w:ascii="Times New Roman;Times;serif" w:hAnsi="Times New Roman;Times;serif"/>
          <w:color w:val="000000"/>
          <w:sz w:val="20"/>
        </w:rPr>
        <w:t>” shall have the meaning set forth in Section 4(a).</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color w:val="000000"/>
        </w:rPr>
      </w:pPr>
      <w:r>
        <w:rPr>
          <w:color w:val="000000"/>
        </w:rPr>
        <w:t>“</w:t>
      </w:r>
      <w:r>
        <w:rPr>
          <w:rFonts w:ascii="Times New Roman;Times;serif" w:hAnsi="Times New Roman;Times;serif"/>
          <w:color w:val="000000"/>
          <w:sz w:val="20"/>
          <w:u w:val="single"/>
        </w:rPr>
        <w:t>Original Issue Date</w:t>
      </w:r>
      <w:r>
        <w:rPr>
          <w:rFonts w:ascii="Times New Roman;Times;serif" w:hAnsi="Times New Roman;Times;serif"/>
          <w:color w:val="000000"/>
          <w:sz w:val="20"/>
        </w:rPr>
        <w:t>” means the date of the first issuance of the Notes, regardless of any transfers of any Note and regardless of the number of instruments which may be issued to evidence such Notes.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color w:val="000000"/>
        </w:rPr>
      </w:pPr>
      <w:r>
        <w:rPr>
          <w:color w:val="000000"/>
        </w:rPr>
        <w:t>“</w:t>
      </w:r>
      <w:r>
        <w:rPr>
          <w:rFonts w:ascii="Times New Roman;Times;serif" w:hAnsi="Times New Roman;Times;serif"/>
          <w:color w:val="000000"/>
          <w:sz w:val="20"/>
          <w:u w:val="single"/>
        </w:rPr>
        <w:t>Permitted Indebtedness</w:t>
      </w:r>
      <w:r>
        <w:rPr>
          <w:rFonts w:ascii="Times New Roman;Times;serif" w:hAnsi="Times New Roman;Times;serif"/>
          <w:color w:val="000000"/>
          <w:sz w:val="20"/>
        </w:rPr>
        <w:t>” means (a) the Indebtedness evidenced by the Notes and the June 2026 Notes, (b) the Indebtedness existing on the Original Issue Date and disclosed to the Required Holder prior to the Original Issue Date (including any Indebtedness set forth in the SEC Reports), (c) capital lease obligations and purchase money indebtedness of up to $500,000, in the aggregate, incurred in connection with the acquisition of capital assets and lease obligations with respect to newly acquired or leased assets (subject, in each case, to the proviso set forth in the definition of GAAP under the Purchase Agreement), (d) other unsecured Indebtedness not exceeding $500,000 in aggregate principal amount outstanding, (e) Indebtedness that (1) is expressly subordinate to the Notes pursuant to a written subordination agreement with the Purchasers that is acceptable to each Purchaser in its reasonable discretion and (2) matures at a date on or after the Maturity Date, (f) other unsecured Indebtedness incurred in the ordinary course of business, (g) any Indebtedness in which the proceeds from such Indebtedness are used to repay the outstanding principal amount of this Note (plus, if applicable, the accrued and unpaid interest thereon and costs, fees and expenses incurred in connection therewith), (h) Indebtedness evidenced by the Additional Notes, (i) Indebtedness incurred in the ordinary course of business in connection with any equipment financing or working capital facilities, which is subordinate to the Indebtedness existing or arising under this Note and the other Transaction Documents pursuant to a subordination agreement acceptable to the Agent in its sole discretion, not to exceed $500,000,000 in the aggregate at any time, (j) Indebtedness incurred in the ordinary course of business in respect of netting services, overdraft protections, automatic clearinghouse arrangements, and other cash management and similar arrangements, (k) Indebtedness to carriers, warehousemen, mechanics, and materialmen, in each case arising in the ordinary course of business, for sums not yet due and payable or, if due and payable, those being contested in good faith by appropriate proceedings and for which appropriate reserves are maintained in accordance with GAAP, (l) guaranties by the Company or a Subsidiary of Permitted Indebtedness incurred by the Company or a Subsidiary; provided, any such guaranty shall be subordinated to the obligations under the Transaction Documents to the same extent and on the same terms and conditions as the Indebtedness guaranteed has been subordinated to the obligations under the Transaction Documents and (m) extensions, refinancings and renewals of any items of Permitted Indebtedness, provided that the principal amount is not increased or the terms modified to impose more burdensome terms upon the Company or its Subsidiary, as the case may be, and subject to any applicable limitations on the aggregate amount of such Permitted Indebtedness.</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4</w:t>
      </w:r>
    </w:p>
    <w:p>
      <w:pPr>
        <w:pStyle w:val="HorizontalLine"/>
        <w:pBdr>
          <w:bottom w:val="single" w:sz="12" w:space="0" w:color="808080"/>
        </w:pBdr>
        <w:bidi w:val="0"/>
        <w:spacing w:before="200" w:after="200"/>
        <w:jc w:val="left"/>
        <w:rPr/>
      </w:pPr>
      <w:r>
        <w:rPr/>
      </w:r>
    </w:p>
    <w:p>
      <w:pPr>
        <w:pStyle w:val="TextBody"/>
        <w:bidi w:val="0"/>
        <w:spacing w:lineRule="auto" w:line="300" w:before="0" w:after="0"/>
        <w:ind w:left="720" w:right="0" w:firstLine="720"/>
        <w:jc w:val="both"/>
        <w:rPr>
          <w:color w:val="000000"/>
        </w:rPr>
      </w:pPr>
      <w:r>
        <w:rPr>
          <w:color w:val="000000"/>
        </w:rPr>
        <w:t>“</w:t>
      </w:r>
      <w:r>
        <w:rPr>
          <w:rFonts w:ascii="Times New Roman;Times;serif" w:hAnsi="Times New Roman;Times;serif"/>
          <w:color w:val="000000"/>
          <w:sz w:val="20"/>
          <w:u w:val="single"/>
        </w:rPr>
        <w:t>Permitted Lien</w:t>
      </w:r>
      <w:r>
        <w:rPr>
          <w:rFonts w:ascii="Times New Roman;Times;serif" w:hAnsi="Times New Roman;Times;serif"/>
          <w:color w:val="000000"/>
          <w:sz w:val="20"/>
        </w:rPr>
        <w:t>” means the individual and collective reference to the following: (a) Liens for taxes, assessments and other governmental charges or levies not yet due or Liens for taxes, assessments and other governmental charges or levies being contested in good faith and by appropriate proceedings for which adequate reserves (in the good faith judgment of the management of the Company) have been established in accordance with GAAP, (b) Liens imposed by law which were incurred in the ordinary course of the Company’s business, such as carriers’, warehousemen’s and mechanics’ Liens, statutory landlords’ Liens, and other similar Liens arising in the ordinary course of the Company’s business, and which (x) do not individually or in the aggregate materially detract from the value of such property or assets or materially impair the use thereof in the operation of the business of the Company and its consolidated Subsidiaries or (y) are being contested in good faith by appropriate proceedings, which proceedings have the effect of preventing for the foreseeable future the forfeiture or sale of the property or asset subject to such Lien, (c) Liens incurred in connection with Permitted Indebtedness under clauses (a), (b), (d), (e), (g), (h), (i), (j), (k), (l) and (m) thereunder, (d) Liens incurred in connection with Permitted Indebtedness under clause (c) thereunder, provided that such Liens are not secured by assets of the Company or its Subsidiaries other than the assets so acquired or leased, (e) easements, rights of way, restrictions, minor defects or irregularities in title and other similar Liens, in each case, not interfering in any material respect with the ordinary conduct of the Company’s business, (f) Liens existing on the Original Issue Date and disclosed to the Required Holder prior to the Original Issue Date (including any Liens set forth in the SEC Reports), (g) Liens arising from judgments, decrees or attachments in circumstances which do not constitute an Event of Default; (h) Liens on deposits under worker’s compensation, unemployment insurance, social security and other similar laws, (i) Liens arising from the filing of any precautionary financing statement on operating leases covering the leased property, to the extent such operating leases are not prohibited under this Note and (j) Liens incurred in connection with the extension, renewal or refinancing of the Indebtedness secured by Liens of the type described in clause (m) above, provided that any extension, renewal or replacement Lien shall be limited to the property encumbered by the existing Lien and the principal amount of the indebtedness being extended, renewed or refinanced does not increase.</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color w:val="000000"/>
        </w:rPr>
      </w:pPr>
      <w:r>
        <w:rPr>
          <w:color w:val="000000"/>
        </w:rPr>
        <w:t>“</w:t>
      </w:r>
      <w:r>
        <w:rPr>
          <w:rFonts w:ascii="Times New Roman;Times;serif" w:hAnsi="Times New Roman;Times;serif"/>
          <w:color w:val="000000"/>
          <w:sz w:val="20"/>
          <w:u w:val="single"/>
        </w:rPr>
        <w:t>Purchase Agreement</w:t>
      </w:r>
      <w:r>
        <w:rPr>
          <w:rFonts w:ascii="Times New Roman;Times;serif" w:hAnsi="Times New Roman;Times;serif"/>
          <w:color w:val="000000"/>
          <w:sz w:val="20"/>
        </w:rPr>
        <w:t>” means the Securities Purchase Agreement, dated as of January 12, 2026, among the Company and the original Holders, as amended, modified or supplemented from time to time in accordance with its terms.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color w:val="000000"/>
        </w:rPr>
      </w:pPr>
      <w:r>
        <w:rPr>
          <w:color w:val="000000"/>
        </w:rPr>
        <w:t>“</w:t>
      </w:r>
      <w:r>
        <w:rPr>
          <w:rFonts w:ascii="Times New Roman;Times;serif" w:hAnsi="Times New Roman;Times;serif"/>
          <w:color w:val="000000"/>
          <w:sz w:val="20"/>
          <w:u w:val="single"/>
        </w:rPr>
        <w:t>Share Delivery Date</w:t>
      </w:r>
      <w:r>
        <w:rPr>
          <w:rFonts w:ascii="Times New Roman;Times;serif" w:hAnsi="Times New Roman;Times;serif"/>
          <w:color w:val="000000"/>
          <w:sz w:val="20"/>
        </w:rPr>
        <w:t>” shall have the meaning set forth in Section 4(c)(ii).</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color w:val="000000"/>
        </w:rPr>
      </w:pPr>
      <w:r>
        <w:rPr>
          <w:color w:val="000000"/>
        </w:rPr>
        <w:t>“</w:t>
      </w:r>
      <w:r>
        <w:rPr>
          <w:rFonts w:ascii="Times New Roman;Times;serif" w:hAnsi="Times New Roman;Times;serif"/>
          <w:color w:val="000000"/>
          <w:sz w:val="20"/>
          <w:u w:val="single"/>
        </w:rPr>
        <w:t>Securities Act</w:t>
      </w:r>
      <w:r>
        <w:rPr>
          <w:rFonts w:ascii="Times New Roman;Times;serif" w:hAnsi="Times New Roman;Times;serif"/>
          <w:color w:val="000000"/>
          <w:sz w:val="20"/>
        </w:rPr>
        <w:t>” means the Securities Act of 1933, as amended, and the rules and regulations promulgated thereunder.</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color w:val="000000"/>
        </w:rPr>
      </w:pPr>
      <w:r>
        <w:rPr>
          <w:color w:val="000000"/>
        </w:rPr>
        <w:t>“</w:t>
      </w:r>
      <w:r>
        <w:rPr>
          <w:rFonts w:ascii="Times New Roman;Times;serif" w:hAnsi="Times New Roman;Times;serif"/>
          <w:color w:val="000000"/>
          <w:sz w:val="20"/>
          <w:u w:val="single"/>
        </w:rPr>
        <w:t>Trading Day</w:t>
      </w:r>
      <w:r>
        <w:rPr>
          <w:rFonts w:ascii="Times New Roman;Times;serif" w:hAnsi="Times New Roman;Times;serif"/>
          <w:color w:val="000000"/>
          <w:sz w:val="20"/>
        </w:rPr>
        <w:t>” means a day on which the principal Trading Market is open for trading.</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color w:val="000000"/>
        </w:rPr>
      </w:pPr>
      <w:r>
        <w:rPr>
          <w:color w:val="000000"/>
        </w:rPr>
        <w:t>“</w:t>
      </w:r>
      <w:r>
        <w:rPr>
          <w:rFonts w:ascii="Times New Roman;Times;serif" w:hAnsi="Times New Roman;Times;serif"/>
          <w:color w:val="000000"/>
          <w:sz w:val="20"/>
          <w:u w:val="single"/>
        </w:rPr>
        <w:t>Trading Market</w:t>
      </w:r>
      <w:r>
        <w:rPr>
          <w:rFonts w:ascii="Times New Roman;Times;serif" w:hAnsi="Times New Roman;Times;serif"/>
          <w:color w:val="000000"/>
          <w:sz w:val="20"/>
        </w:rPr>
        <w:t>” means any of the following markets or exchanges on which the Ordinary Shares are listed or quoted for trading on the date in question: the NYSE American, the Nasdaq Capital Market, the Nasdaq Global Market, the Nasdaq Global Select Market, or the New York Stock Exchange (or any successors to any of the foregoing).</w:t>
      </w:r>
    </w:p>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4" w:name="zaaaec3dbfa7c4179ab5ab2632e00a668"/>
      <w:bookmarkStart w:id="5" w:name="zaaaec3dbfa7c4179ab5ab2632e00a668"/>
      <w:bookmarkEnd w:id="5"/>
    </w:p>
    <w:tbl>
      <w:tblPr>
        <w:tblW w:w="1728" w:type="dxa"/>
        <w:jc w:val="left"/>
        <w:tblInd w:w="0" w:type="dxa"/>
        <w:tblLayout w:type="fixed"/>
        <w:tblCellMar>
          <w:top w:w="0" w:type="dxa"/>
          <w:left w:w="0" w:type="dxa"/>
          <w:bottom w:w="0" w:type="dxa"/>
          <w:right w:w="0" w:type="dxa"/>
        </w:tblCellMar>
      </w:tblPr>
      <w:tblGrid>
        <w:gridCol w:w="38"/>
        <w:gridCol w:w="830"/>
        <w:gridCol w:w="860"/>
      </w:tblGrid>
      <w:tr>
        <w:trPr/>
        <w:tc>
          <w:tcPr>
            <w:tcW w:w="38" w:type="dxa"/>
            <w:tcBorders/>
            <w:vAlign w:val="center"/>
          </w:tcPr>
          <w:p>
            <w:pPr>
              <w:pStyle w:val="TableContents"/>
              <w:bidi w:val="0"/>
              <w:spacing w:before="0" w:after="283"/>
              <w:jc w:val="left"/>
              <w:rPr/>
            </w:pPr>
            <w:r>
              <w:rPr/>
            </w:r>
          </w:p>
        </w:tc>
        <w:tc>
          <w:tcPr>
            <w:tcW w:w="830" w:type="dxa"/>
            <w:tcBorders/>
            <w:vAlign w:val="center"/>
          </w:tcPr>
          <w:p>
            <w:pPr>
              <w:pStyle w:val="TableContents"/>
              <w:bidi w:val="0"/>
              <w:spacing w:before="0" w:after="283"/>
              <w:jc w:val="left"/>
              <w:rPr>
                <w:rFonts w:ascii="Times New Roman;Times;serif" w:hAnsi="Times New Roman;Times;serif"/>
                <w:sz w:val="20"/>
                <w:u w:val="single"/>
              </w:rPr>
            </w:pPr>
            <w:r>
              <w:rPr>
                <w:rFonts w:ascii="Times New Roman;Times;serif" w:hAnsi="Times New Roman;Times;serif"/>
                <w:sz w:val="20"/>
                <w:u w:val="single"/>
              </w:rPr>
              <w:t>Section 2.</w:t>
            </w:r>
          </w:p>
        </w:tc>
        <w:tc>
          <w:tcPr>
            <w:tcW w:w="86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u w:val="single"/>
              </w:rPr>
              <w:t>Payments</w:t>
            </w:r>
            <w:r>
              <w:rPr>
                <w:rFonts w:ascii="Times New Roman;Times;serif" w:hAnsi="Times New Roman;Times;serif"/>
                <w:sz w:val="20"/>
              </w:rPr>
              <w:t>.</w:t>
            </w:r>
          </w:p>
        </w:tc>
      </w:tr>
    </w:tbl>
    <w:p>
      <w:pPr>
        <w:pStyle w:val="TextBody"/>
        <w:bidi w:val="0"/>
        <w:spacing w:lineRule="auto" w:line="300" w:before="0" w:after="0"/>
        <w:jc w:val="left"/>
        <w:rPr/>
      </w:pPr>
      <w:r>
        <w:rPr/>
      </w:r>
    </w:p>
    <w:p>
      <w:pPr>
        <w:pStyle w:val="TextBody"/>
        <w:bidi w:val="0"/>
        <w:spacing w:lineRule="auto" w:line="300"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(a)          </w:t>
      </w:r>
      <w:r>
        <w:rPr>
          <w:rFonts w:ascii="Times New Roman;Times;serif" w:hAnsi="Times New Roman;Times;serif"/>
          <w:color w:val="000000"/>
          <w:sz w:val="20"/>
          <w:u w:val="single"/>
        </w:rPr>
        <w:t>Payment of Interest</w:t>
      </w:r>
      <w:r>
        <w:rPr>
          <w:rFonts w:ascii="Times New Roman;Times;serif" w:hAnsi="Times New Roman;Times;serif"/>
          <w:color w:val="000000"/>
          <w:sz w:val="20"/>
        </w:rPr>
        <w:t>. Subject to the provisions of Section 8(b) hereof, this Note shall initially bear interest at a rate of eight percent (8%) per annum. Except as otherwise set forth in this Note, any interest payable on this Note shall be shall be payable semi</w:t>
        <w:noBreakHyphen/>
        <w:t>annually in arrears on June 30 and December 31 of each year, commencing on  December 31, 2026 (each, an “</w:t>
      </w:r>
      <w:r>
        <w:rPr>
          <w:rFonts w:ascii="Times New Roman;Times;serif" w:hAnsi="Times New Roman;Times;serif"/>
          <w:color w:val="000000"/>
          <w:sz w:val="20"/>
          <w:u w:val="single"/>
        </w:rPr>
        <w:t>Interest Payment Date</w:t>
      </w:r>
      <w:r>
        <w:rPr>
          <w:rFonts w:ascii="Times New Roman;Times;serif" w:hAnsi="Times New Roman;Times;serif"/>
          <w:color w:val="000000"/>
          <w:sz w:val="20"/>
        </w:rPr>
        <w:t>”) (if an Interest Payment Date is not a Business Day, then the payment shall be due on the next succeeding Business Day), in cash (such amount due, the “Interest Payment Amount”). On each Interest Payment Date, the Company may, at its sole election, (i) pay the Interest Payment Amount in cash, or (ii) elect to have such Interest Payment Amount added to the outstanding principal balance of this Note, in which case, such Interest Payment Amount shall thereafter be deemed principal for all purposes hereunder.</w:t>
      </w:r>
    </w:p>
    <w:p>
      <w:pPr>
        <w:pStyle w:val="TextBody"/>
        <w:bidi w:val="0"/>
        <w:spacing w:lineRule="auto" w:line="300" w:before="0" w:after="0"/>
        <w:jc w:val="left"/>
        <w:rPr/>
      </w:pPr>
      <w:r>
        <w:rPr/>
      </w:r>
    </w:p>
    <w:p>
      <w:pPr>
        <w:pStyle w:val="TextBody"/>
        <w:bidi w:val="0"/>
        <w:spacing w:lineRule="auto" w:line="300"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(b)          </w:t>
      </w:r>
      <w:r>
        <w:rPr>
          <w:rFonts w:ascii="Times New Roman;Times;serif" w:hAnsi="Times New Roman;Times;serif"/>
          <w:color w:val="000000"/>
          <w:sz w:val="20"/>
          <w:u w:val="single"/>
        </w:rPr>
        <w:t>Interest Calculations</w:t>
      </w:r>
      <w:r>
        <w:rPr>
          <w:rFonts w:ascii="Times New Roman;Times;serif" w:hAnsi="Times New Roman;Times;serif"/>
          <w:color w:val="000000"/>
          <w:sz w:val="20"/>
        </w:rPr>
        <w:t>. Interest shall be calculated on the basis of a 365 or 366 day year, as applicable, and the actual number of days elapsed, and shall accrue daily commencing on the Original Issue Date until payment in full of the outstanding principal, together with all accrued and unpaid interest, liquidated damages and other amounts which may become due hereunder, has been made.  Interest hereunder will be paid to the Person in whose name this Note is registered on the records of the Company regarding registration and transfers of this Note (the “</w:t>
      </w:r>
      <w:r>
        <w:rPr>
          <w:rFonts w:ascii="Times New Roman;Times;serif" w:hAnsi="Times New Roman;Times;serif"/>
          <w:color w:val="000000"/>
          <w:sz w:val="20"/>
          <w:u w:val="single"/>
        </w:rPr>
        <w:t>Note Register</w:t>
      </w:r>
      <w:r>
        <w:rPr>
          <w:rFonts w:ascii="Times New Roman;Times;serif" w:hAnsi="Times New Roman;Times;serif"/>
          <w:color w:val="000000"/>
          <w:sz w:val="20"/>
        </w:rPr>
        <w:t>”).</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5</w:t>
      </w:r>
    </w:p>
    <w:p>
      <w:pPr>
        <w:pStyle w:val="HorizontalLine"/>
        <w:pBdr>
          <w:bottom w:val="single" w:sz="12" w:space="0" w:color="808080"/>
        </w:pBdr>
        <w:bidi w:val="0"/>
        <w:spacing w:before="200" w:after="200"/>
        <w:jc w:val="left"/>
        <w:rPr/>
      </w:pPr>
      <w:r>
        <w:rPr/>
      </w:r>
    </w:p>
    <w:p>
      <w:pPr>
        <w:pStyle w:val="TextBody"/>
        <w:bidi w:val="0"/>
        <w:spacing w:lineRule="auto" w:line="300"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(c)          </w:t>
      </w:r>
      <w:r>
        <w:rPr>
          <w:rFonts w:ascii="Times New Roman;Times;serif" w:hAnsi="Times New Roman;Times;serif"/>
          <w:color w:val="000000"/>
          <w:sz w:val="20"/>
          <w:u w:val="single"/>
        </w:rPr>
        <w:t>Late Fee</w:t>
      </w:r>
      <w:r>
        <w:rPr>
          <w:rFonts w:ascii="Times New Roman;Times;serif" w:hAnsi="Times New Roman;Times;serif"/>
          <w:color w:val="000000"/>
          <w:sz w:val="20"/>
        </w:rPr>
        <w:t>.  All overdue accrued and unpaid interest to be paid hereunder shall entail a late fee at an interest rate equal to the lesser of 15% per annum or the maximum rate permitted by applicable law (the “</w:t>
      </w:r>
      <w:r>
        <w:rPr>
          <w:rFonts w:ascii="Times New Roman;Times;serif" w:hAnsi="Times New Roman;Times;serif"/>
          <w:color w:val="000000"/>
          <w:sz w:val="20"/>
          <w:u w:val="single"/>
        </w:rPr>
        <w:t>Late Fees</w:t>
      </w:r>
      <w:r>
        <w:rPr>
          <w:rFonts w:ascii="Times New Roman;Times;serif" w:hAnsi="Times New Roman;Times;serif"/>
          <w:color w:val="000000"/>
          <w:sz w:val="20"/>
        </w:rPr>
        <w:t>”) which shall accrue daily from the date such interest is due hereunder through and including the date of actual payment in full.</w:t>
      </w:r>
    </w:p>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6" w:name="zbd8c603a60784d4fb98e68567ff20b8f"/>
      <w:bookmarkStart w:id="7" w:name="zbd8c603a60784d4fb98e68567ff20b8f"/>
      <w:bookmarkEnd w:id="7"/>
    </w:p>
    <w:tbl>
      <w:tblPr>
        <w:tblW w:w="4218" w:type="dxa"/>
        <w:jc w:val="left"/>
        <w:tblInd w:w="0" w:type="dxa"/>
        <w:tblLayout w:type="fixed"/>
        <w:tblCellMar>
          <w:top w:w="0" w:type="dxa"/>
          <w:left w:w="0" w:type="dxa"/>
          <w:bottom w:w="0" w:type="dxa"/>
          <w:right w:w="0" w:type="dxa"/>
        </w:tblCellMar>
      </w:tblPr>
      <w:tblGrid>
        <w:gridCol w:w="38"/>
        <w:gridCol w:w="830"/>
        <w:gridCol w:w="3350"/>
      </w:tblGrid>
      <w:tr>
        <w:trPr/>
        <w:tc>
          <w:tcPr>
            <w:tcW w:w="38" w:type="dxa"/>
            <w:tcBorders/>
            <w:vAlign w:val="center"/>
          </w:tcPr>
          <w:p>
            <w:pPr>
              <w:pStyle w:val="TableContents"/>
              <w:bidi w:val="0"/>
              <w:spacing w:before="0" w:after="283"/>
              <w:jc w:val="left"/>
              <w:rPr/>
            </w:pPr>
            <w:r>
              <w:rPr/>
            </w:r>
          </w:p>
        </w:tc>
        <w:tc>
          <w:tcPr>
            <w:tcW w:w="830" w:type="dxa"/>
            <w:tcBorders/>
            <w:vAlign w:val="center"/>
          </w:tcPr>
          <w:p>
            <w:pPr>
              <w:pStyle w:val="TableContents"/>
              <w:bidi w:val="0"/>
              <w:spacing w:before="0" w:after="283"/>
              <w:jc w:val="left"/>
              <w:rPr>
                <w:rFonts w:ascii="Times New Roman;Times;serif" w:hAnsi="Times New Roman;Times;serif"/>
                <w:sz w:val="20"/>
                <w:u w:val="single"/>
              </w:rPr>
            </w:pPr>
            <w:r>
              <w:rPr>
                <w:rFonts w:ascii="Times New Roman;Times;serif" w:hAnsi="Times New Roman;Times;serif"/>
                <w:sz w:val="20"/>
                <w:u w:val="single"/>
              </w:rPr>
              <w:t>Section 3.</w:t>
            </w:r>
          </w:p>
        </w:tc>
        <w:tc>
          <w:tcPr>
            <w:tcW w:w="335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u w:val="single"/>
              </w:rPr>
              <w:t>Registration of Transfers and Exchanges</w:t>
            </w:r>
            <w:r>
              <w:rPr>
                <w:rFonts w:ascii="Times New Roman;Times;serif" w:hAnsi="Times New Roman;Times;serif"/>
                <w:sz w:val="20"/>
              </w:rPr>
              <w:t>.</w:t>
            </w:r>
          </w:p>
        </w:tc>
      </w:tr>
    </w:tbl>
    <w:p>
      <w:pPr>
        <w:pStyle w:val="TextBody"/>
        <w:bidi w:val="0"/>
        <w:spacing w:lineRule="auto" w:line="300" w:before="0" w:after="0"/>
        <w:ind w:left="720" w:right="0" w:hanging="0"/>
        <w:jc w:val="both"/>
        <w:rPr/>
      </w:pPr>
      <w:r>
        <w:rPr/>
      </w:r>
    </w:p>
    <w:p>
      <w:pPr>
        <w:pStyle w:val="TextBody"/>
        <w:bidi w:val="0"/>
        <w:spacing w:lineRule="auto" w:line="300" w:before="0" w:after="0"/>
        <w:ind w:left="720" w:right="0" w:firstLine="810"/>
        <w:jc w:val="both"/>
        <w:rPr>
          <w:rFonts w:ascii="Times New Roman;Times;serif" w:hAnsi="Times New Roman;Times;serif"/>
          <w:color w:val="000000"/>
          <w:sz w:val="20"/>
        </w:rPr>
      </w:pPr>
      <w:r>
        <w:rPr>
          <w:rFonts w:ascii="Times New Roman;Times;serif" w:hAnsi="Times New Roman;Times;serif"/>
          <w:color w:val="000000"/>
          <w:sz w:val="20"/>
        </w:rPr>
        <w:t>(a)          </w:t>
      </w:r>
      <w:r>
        <w:rPr>
          <w:rFonts w:ascii="Times New Roman;Times;serif" w:hAnsi="Times New Roman;Times;serif"/>
          <w:color w:val="000000"/>
          <w:sz w:val="20"/>
          <w:u w:val="single"/>
        </w:rPr>
        <w:t>Different Denominations</w:t>
      </w:r>
      <w:r>
        <w:rPr>
          <w:rFonts w:ascii="Times New Roman;Times;serif" w:hAnsi="Times New Roman;Times;serif"/>
          <w:color w:val="000000"/>
          <w:sz w:val="20"/>
        </w:rPr>
        <w:t>. This Note is exchangeable for an equal aggregate principal amount of Notes of different authorized denominations, as requested by the Holder surrendering the same.  No service charge will be payable for such registration of transfer or exchange.</w:t>
      </w:r>
    </w:p>
    <w:p>
      <w:pPr>
        <w:pStyle w:val="TextBody"/>
        <w:bidi w:val="0"/>
        <w:spacing w:lineRule="auto" w:line="300" w:before="0" w:after="0"/>
        <w:jc w:val="left"/>
        <w:rPr/>
      </w:pPr>
      <w:r>
        <w:rPr/>
      </w:r>
    </w:p>
    <w:p>
      <w:pPr>
        <w:pStyle w:val="TextBody"/>
        <w:bidi w:val="0"/>
        <w:spacing w:lineRule="auto" w:line="300" w:before="0" w:after="0"/>
        <w:ind w:left="720" w:right="0" w:firstLine="810"/>
        <w:jc w:val="both"/>
        <w:rPr>
          <w:rFonts w:ascii="Times New Roman;Times;serif" w:hAnsi="Times New Roman;Times;serif"/>
          <w:color w:val="000000"/>
          <w:sz w:val="20"/>
        </w:rPr>
      </w:pPr>
      <w:r>
        <w:rPr>
          <w:rFonts w:ascii="Times New Roman;Times;serif" w:hAnsi="Times New Roman;Times;serif"/>
          <w:color w:val="000000"/>
          <w:sz w:val="20"/>
        </w:rPr>
        <w:t>(b)          </w:t>
      </w:r>
      <w:r>
        <w:rPr>
          <w:rFonts w:ascii="Times New Roman;Times;serif" w:hAnsi="Times New Roman;Times;serif"/>
          <w:color w:val="000000"/>
          <w:sz w:val="20"/>
          <w:u w:val="single"/>
        </w:rPr>
        <w:t>Investment Representations</w:t>
      </w:r>
      <w:r>
        <w:rPr>
          <w:rFonts w:ascii="Times New Roman;Times;serif" w:hAnsi="Times New Roman;Times;serif"/>
          <w:color w:val="000000"/>
          <w:sz w:val="20"/>
        </w:rPr>
        <w:t>. This Note has been issued subject to certain investment representations of the original Holder set forth in the Purchase Agreement and may be transferred or exchanged only in compliance with the Purchase Agreement and applicable federal and state securities laws and regulations.</w:t>
      </w:r>
    </w:p>
    <w:p>
      <w:pPr>
        <w:pStyle w:val="TextBody"/>
        <w:bidi w:val="0"/>
        <w:spacing w:lineRule="auto" w:line="300" w:before="0" w:after="0"/>
        <w:jc w:val="left"/>
        <w:rPr/>
      </w:pPr>
      <w:r>
        <w:rPr/>
      </w:r>
    </w:p>
    <w:p>
      <w:pPr>
        <w:pStyle w:val="TextBody"/>
        <w:bidi w:val="0"/>
        <w:spacing w:lineRule="auto" w:line="300" w:before="0" w:after="0"/>
        <w:ind w:left="720" w:right="0" w:firstLine="810"/>
        <w:jc w:val="both"/>
        <w:rPr>
          <w:rFonts w:ascii="Times New Roman;Times;serif" w:hAnsi="Times New Roman;Times;serif"/>
          <w:color w:val="000000"/>
          <w:sz w:val="20"/>
        </w:rPr>
      </w:pPr>
      <w:r>
        <w:rPr>
          <w:rFonts w:ascii="Times New Roman;Times;serif" w:hAnsi="Times New Roman;Times;serif"/>
          <w:color w:val="000000"/>
          <w:sz w:val="20"/>
        </w:rPr>
        <w:t>(c)          </w:t>
      </w:r>
      <w:r>
        <w:rPr>
          <w:rFonts w:ascii="Times New Roman;Times;serif" w:hAnsi="Times New Roman;Times;serif"/>
          <w:color w:val="000000"/>
          <w:sz w:val="20"/>
          <w:u w:val="single"/>
        </w:rPr>
        <w:t>Reliance on Note Register</w:t>
      </w:r>
      <w:r>
        <w:rPr>
          <w:rFonts w:ascii="Times New Roman;Times;serif" w:hAnsi="Times New Roman;Times;serif"/>
          <w:color w:val="000000"/>
          <w:sz w:val="20"/>
        </w:rPr>
        <w:t>. Prior to due presentment for transfer to the Company of this Note, the Company and any agent of the Company may treat the Person in whose name this Note is duly registered on the Note Register as the owner hereof for the purpose of receiving payment as herein provided and for all other purposes, whether or not this Note is overdue, and neither the Company nor any such agent shall be affected by notice to the contrary.</w:t>
      </w:r>
    </w:p>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8" w:name="z40798bc8d4c04af1b6d925ed2bdaf7d9"/>
      <w:bookmarkStart w:id="9" w:name="z40798bc8d4c04af1b6d925ed2bdaf7d9"/>
      <w:bookmarkEnd w:id="9"/>
    </w:p>
    <w:tbl>
      <w:tblPr>
        <w:tblW w:w="1893" w:type="dxa"/>
        <w:jc w:val="left"/>
        <w:tblInd w:w="0" w:type="dxa"/>
        <w:tblLayout w:type="fixed"/>
        <w:tblCellMar>
          <w:top w:w="0" w:type="dxa"/>
          <w:left w:w="0" w:type="dxa"/>
          <w:bottom w:w="0" w:type="dxa"/>
          <w:right w:w="0" w:type="dxa"/>
        </w:tblCellMar>
      </w:tblPr>
      <w:tblGrid>
        <w:gridCol w:w="38"/>
        <w:gridCol w:w="830"/>
        <w:gridCol w:w="1025"/>
      </w:tblGrid>
      <w:tr>
        <w:trPr/>
        <w:tc>
          <w:tcPr>
            <w:tcW w:w="38" w:type="dxa"/>
            <w:tcBorders/>
            <w:vAlign w:val="center"/>
          </w:tcPr>
          <w:p>
            <w:pPr>
              <w:pStyle w:val="TableContents"/>
              <w:bidi w:val="0"/>
              <w:spacing w:before="0" w:after="283"/>
              <w:jc w:val="left"/>
              <w:rPr/>
            </w:pPr>
            <w:r>
              <w:rPr/>
            </w:r>
          </w:p>
        </w:tc>
        <w:tc>
          <w:tcPr>
            <w:tcW w:w="830" w:type="dxa"/>
            <w:tcBorders/>
            <w:vAlign w:val="center"/>
          </w:tcPr>
          <w:p>
            <w:pPr>
              <w:pStyle w:val="TableContents"/>
              <w:bidi w:val="0"/>
              <w:spacing w:before="0" w:after="283"/>
              <w:jc w:val="left"/>
              <w:rPr>
                <w:rFonts w:ascii="Times New Roman;Times;serif" w:hAnsi="Times New Roman;Times;serif"/>
                <w:sz w:val="20"/>
                <w:u w:val="single"/>
              </w:rPr>
            </w:pPr>
            <w:r>
              <w:rPr>
                <w:rFonts w:ascii="Times New Roman;Times;serif" w:hAnsi="Times New Roman;Times;serif"/>
                <w:sz w:val="20"/>
                <w:u w:val="single"/>
              </w:rPr>
              <w:t>Section 4.</w:t>
            </w:r>
          </w:p>
        </w:tc>
        <w:tc>
          <w:tcPr>
            <w:tcW w:w="102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u w:val="single"/>
              </w:rPr>
              <w:t>Conversion</w:t>
            </w:r>
            <w:r>
              <w:rPr>
                <w:rFonts w:ascii="Times New Roman;Times;serif" w:hAnsi="Times New Roman;Times;serif"/>
                <w:sz w:val="20"/>
              </w:rPr>
              <w:t>.</w:t>
            </w:r>
          </w:p>
        </w:tc>
      </w:tr>
    </w:tbl>
    <w:p>
      <w:pPr>
        <w:pStyle w:val="TextBody"/>
        <w:bidi w:val="0"/>
        <w:spacing w:lineRule="auto" w:line="300" w:before="0" w:after="0"/>
        <w:jc w:val="left"/>
        <w:rPr/>
      </w:pPr>
      <w:r>
        <w:rPr/>
      </w:r>
    </w:p>
    <w:p>
      <w:pPr>
        <w:pStyle w:val="TextBody"/>
        <w:bidi w:val="0"/>
        <w:spacing w:lineRule="auto" w:line="300" w:before="0" w:after="0"/>
        <w:ind w:left="720" w:right="0" w:firstLine="810"/>
        <w:jc w:val="both"/>
        <w:rPr>
          <w:rFonts w:ascii="Times New Roman;Times;serif" w:hAnsi="Times New Roman;Times;serif"/>
          <w:color w:val="000000"/>
          <w:sz w:val="20"/>
        </w:rPr>
      </w:pPr>
      <w:r>
        <w:rPr>
          <w:rFonts w:ascii="Times New Roman;Times;serif" w:hAnsi="Times New Roman;Times;serif"/>
          <w:color w:val="000000"/>
          <w:sz w:val="20"/>
        </w:rPr>
        <w:t>(a)          </w:t>
      </w:r>
      <w:r>
        <w:rPr>
          <w:rFonts w:ascii="Times New Roman;Times;serif" w:hAnsi="Times New Roman;Times;serif"/>
          <w:color w:val="000000"/>
          <w:sz w:val="20"/>
          <w:u w:val="single"/>
        </w:rPr>
        <w:t>Voluntary Conversion</w:t>
      </w:r>
      <w:r>
        <w:rPr>
          <w:rFonts w:ascii="Times New Roman;Times;serif" w:hAnsi="Times New Roman;Times;serif"/>
          <w:color w:val="000000"/>
          <w:sz w:val="20"/>
        </w:rPr>
        <w:t xml:space="preserve">. At any time after the Original Issue Date until this Note is no longer outstanding, this Note, and at the sole option of the Holder, all accrued and unpaid interest thereon, shall be convertible, in whole or in part, into Ordinary Shares at the option of the Holder, at any time and from time to time (subject to the conversion limitations set forth in Section 4(d)).  The Holder shall effect conversions by delivering to the Company a Notice of Conversion, the form of which is attached hereto as </w:t>
      </w:r>
      <w:r>
        <w:rPr>
          <w:rFonts w:ascii="Times New Roman;Times;serif" w:hAnsi="Times New Roman;Times;serif"/>
          <w:color w:val="000000"/>
          <w:sz w:val="20"/>
          <w:u w:val="single"/>
        </w:rPr>
        <w:t>Annex A</w:t>
      </w:r>
      <w:r>
        <w:rPr>
          <w:rFonts w:ascii="Times New Roman;Times;serif" w:hAnsi="Times New Roman;Times;serif"/>
          <w:color w:val="000000"/>
          <w:sz w:val="20"/>
        </w:rPr>
        <w:t xml:space="preserve"> (each, a “</w:t>
      </w:r>
      <w:r>
        <w:rPr>
          <w:rFonts w:ascii="Times New Roman;Times;serif" w:hAnsi="Times New Roman;Times;serif"/>
          <w:color w:val="000000"/>
          <w:sz w:val="20"/>
          <w:u w:val="single"/>
        </w:rPr>
        <w:t>Notice of Conversion</w:t>
      </w:r>
      <w:r>
        <w:rPr>
          <w:rFonts w:ascii="Times New Roman;Times;serif" w:hAnsi="Times New Roman;Times;serif"/>
          <w:color w:val="000000"/>
          <w:sz w:val="20"/>
        </w:rPr>
        <w:t xml:space="preserve">”), specifying therein the principal amount of this Note, </w:t>
      </w:r>
      <w:r>
        <w:rPr>
          <w:rFonts w:ascii="Times New Roman;Times;serif" w:hAnsi="Times New Roman;Times;serif"/>
          <w:i/>
          <w:color w:val="000000"/>
          <w:sz w:val="20"/>
        </w:rPr>
        <w:t>plus</w:t>
      </w:r>
      <w:r>
        <w:rPr>
          <w:rFonts w:ascii="Times New Roman;Times;serif" w:hAnsi="Times New Roman;Times;serif"/>
          <w:color w:val="000000"/>
          <w:sz w:val="20"/>
        </w:rPr>
        <w:t>, at the option of the Holder, any accrued and unpaid interest thereon to be converted, and the date on which such conversion shall be effected (such date, the “</w:t>
      </w:r>
      <w:r>
        <w:rPr>
          <w:rFonts w:ascii="Times New Roman;Times;serif" w:hAnsi="Times New Roman;Times;serif"/>
          <w:color w:val="000000"/>
          <w:sz w:val="20"/>
          <w:u w:val="single"/>
        </w:rPr>
        <w:t>Conversion Date</w:t>
      </w:r>
      <w:r>
        <w:rPr>
          <w:rFonts w:ascii="Times New Roman;Times;serif" w:hAnsi="Times New Roman;Times;serif"/>
          <w:color w:val="000000"/>
          <w:sz w:val="20"/>
        </w:rPr>
        <w:t xml:space="preserve">”).  If no Conversion Date is specified in a Notice of Conversion, the Conversion Date shall be the date that such Notice of Conversion is deemed delivered hereunder.  No ink-original Notice of Conversion shall be required, nor shall any medallion guarantee (or other type of guarantee or notarization) of any Notice of Conversion form be required.  To effect conversions hereunder, the Holder shall not be required to physically surrender this Note to the Company unless the entire principal amount of this Note, </w:t>
      </w:r>
      <w:r>
        <w:rPr>
          <w:rFonts w:ascii="Times New Roman;Times;serif" w:hAnsi="Times New Roman;Times;serif"/>
          <w:i/>
          <w:color w:val="000000"/>
          <w:sz w:val="20"/>
        </w:rPr>
        <w:t>plus</w:t>
      </w:r>
      <w:r>
        <w:rPr>
          <w:rFonts w:ascii="Times New Roman;Times;serif" w:hAnsi="Times New Roman;Times;serif"/>
          <w:color w:val="000000"/>
          <w:sz w:val="20"/>
        </w:rPr>
        <w:t xml:space="preserve"> all accrued and unpaid interest thereon, has been so converted in which case the Holder shall surrender this Note as promptly as is reasonably practicable after such conversion without delaying the Company’s obligation to deliver the shares on the Share Delivery Date. Conversions hereunder shall have the effect of lowering the outstanding principal amount of this Note (</w:t>
      </w:r>
      <w:r>
        <w:rPr>
          <w:rFonts w:ascii="Times New Roman;Times;serif" w:hAnsi="Times New Roman;Times;serif"/>
          <w:i/>
          <w:color w:val="000000"/>
          <w:sz w:val="20"/>
        </w:rPr>
        <w:t>plus</w:t>
      </w:r>
      <w:r>
        <w:rPr>
          <w:rFonts w:ascii="Times New Roman;Times;serif" w:hAnsi="Times New Roman;Times;serif"/>
          <w:color w:val="000000"/>
          <w:sz w:val="20"/>
        </w:rPr>
        <w:t>, if applicable, any accrued and unpaid interest thereon) in an amount equal to the applicable conversion.  The Holder and the Company shall maintain records showing the principal amount(s) (</w:t>
      </w:r>
      <w:r>
        <w:rPr>
          <w:rFonts w:ascii="Times New Roman;Times;serif" w:hAnsi="Times New Roman;Times;serif"/>
          <w:i/>
          <w:color w:val="000000"/>
          <w:sz w:val="20"/>
        </w:rPr>
        <w:t>plus</w:t>
      </w:r>
      <w:r>
        <w:rPr>
          <w:rFonts w:ascii="Times New Roman;Times;serif" w:hAnsi="Times New Roman;Times;serif"/>
          <w:color w:val="000000"/>
          <w:sz w:val="20"/>
        </w:rPr>
        <w:t xml:space="preserve">, if applicable, any accrued and unpaid interest thereon) converted and the date of such conversion(s).  The Company may deliver an objection to any Notice of Conversion within one (1) Business Day of delivery of such Notice of Conversion.  In the event of any dispute or discrepancy, the records of the Holder shall be controlling and determinative in the absence of manifest error. </w:t>
      </w:r>
      <w:r>
        <w:rPr>
          <w:rFonts w:ascii="Times New Roman;Times;serif" w:hAnsi="Times New Roman;Times;serif"/>
          <w:b/>
          <w:color w:val="000000"/>
          <w:sz w:val="20"/>
        </w:rPr>
        <w:t>The Holder, and any assignee by acceptance of this Note, acknowledge and agree that, by reason of the provisions of this paragraph, following conversion of a portion of this Note, the unpaid and unconverted principal amount of this Note may be less than the amount stated on the face hereof.</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6</w:t>
      </w:r>
    </w:p>
    <w:p>
      <w:pPr>
        <w:pStyle w:val="HorizontalLine"/>
        <w:pBdr>
          <w:bottom w:val="single" w:sz="12" w:space="0" w:color="808080"/>
        </w:pBdr>
        <w:bidi w:val="0"/>
        <w:spacing w:before="200" w:after="200"/>
        <w:jc w:val="left"/>
        <w:rPr/>
      </w:pPr>
      <w:r>
        <w:rPr/>
      </w:r>
    </w:p>
    <w:p>
      <w:pPr>
        <w:pStyle w:val="TextBody"/>
        <w:bidi w:val="0"/>
        <w:spacing w:lineRule="auto" w:line="300" w:before="0" w:after="0"/>
        <w:ind w:left="720" w:right="0" w:firstLine="810"/>
        <w:jc w:val="both"/>
        <w:rPr>
          <w:rFonts w:ascii="Times New Roman;Times;serif" w:hAnsi="Times New Roman;Times;serif"/>
          <w:color w:val="000000"/>
          <w:sz w:val="20"/>
        </w:rPr>
      </w:pPr>
      <w:r>
        <w:rPr>
          <w:rFonts w:ascii="Times New Roman;Times;serif" w:hAnsi="Times New Roman;Times;serif"/>
          <w:color w:val="000000"/>
          <w:sz w:val="20"/>
        </w:rPr>
        <w:t>(b)          </w:t>
      </w:r>
      <w:r>
        <w:rPr>
          <w:rFonts w:ascii="Times New Roman;Times;serif" w:hAnsi="Times New Roman;Times;serif"/>
          <w:color w:val="000000"/>
          <w:sz w:val="20"/>
          <w:u w:val="single"/>
        </w:rPr>
        <w:t>Conversion Price</w:t>
      </w:r>
      <w:r>
        <w:rPr>
          <w:rFonts w:ascii="Times New Roman;Times;serif" w:hAnsi="Times New Roman;Times;serif"/>
          <w:color w:val="000000"/>
          <w:sz w:val="20"/>
        </w:rPr>
        <w:t>.  The conversion price in effect on any Conversion Date shall be equal to $5.40, subject to adjustment as provided herein (the “</w:t>
      </w:r>
      <w:r>
        <w:rPr>
          <w:rFonts w:ascii="Times New Roman;Times;serif" w:hAnsi="Times New Roman;Times;serif"/>
          <w:color w:val="000000"/>
          <w:sz w:val="20"/>
          <w:u w:val="single"/>
        </w:rPr>
        <w:t>Conversion Price</w:t>
      </w:r>
      <w:r>
        <w:rPr>
          <w:rFonts w:ascii="Times New Roman;Times;serif" w:hAnsi="Times New Roman;Times;serif"/>
          <w:color w:val="000000"/>
          <w:sz w:val="20"/>
        </w:rPr>
        <w:t>”).</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810"/>
        <w:jc w:val="both"/>
        <w:rPr>
          <w:rFonts w:ascii="Times New Roman;Times;serif" w:hAnsi="Times New Roman;Times;serif"/>
          <w:color w:val="000000"/>
          <w:sz w:val="20"/>
        </w:rPr>
      </w:pPr>
      <w:r>
        <w:rPr>
          <w:rFonts w:ascii="Times New Roman;Times;serif" w:hAnsi="Times New Roman;Times;serif"/>
          <w:color w:val="000000"/>
          <w:sz w:val="20"/>
        </w:rPr>
        <w:t>(c)          </w:t>
      </w:r>
      <w:r>
        <w:rPr>
          <w:rFonts w:ascii="Times New Roman;Times;serif" w:hAnsi="Times New Roman;Times;serif"/>
          <w:color w:val="000000"/>
          <w:sz w:val="20"/>
          <w:u w:val="single"/>
        </w:rPr>
        <w:t>Mechanics of Conversion</w:t>
      </w:r>
      <w:r>
        <w:rPr>
          <w:rFonts w:ascii="Times New Roman;Times;serif" w:hAnsi="Times New Roman;Times;serif"/>
          <w:color w:val="000000"/>
          <w:sz w:val="20"/>
        </w:rPr>
        <w:t>.</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1440" w:right="0" w:firstLine="720"/>
        <w:jc w:val="both"/>
        <w:rPr>
          <w:rFonts w:ascii="Times New Roman;Times;serif" w:hAnsi="Times New Roman;Times;serif"/>
          <w:color w:val="000000"/>
          <w:sz w:val="20"/>
        </w:rPr>
      </w:pPr>
      <w:r>
        <w:rPr>
          <w:rFonts w:ascii="Times New Roman;Times;serif" w:hAnsi="Times New Roman;Times;serif"/>
          <w:color w:val="000000"/>
          <w:sz w:val="20"/>
        </w:rPr>
        <w:t>(i)          </w:t>
      </w:r>
      <w:r>
        <w:rPr>
          <w:rFonts w:ascii="Times New Roman;Times;serif" w:hAnsi="Times New Roman;Times;serif"/>
          <w:color w:val="000000"/>
          <w:sz w:val="20"/>
          <w:u w:val="single"/>
        </w:rPr>
        <w:t>Conversion Shares Issuable Upon Conversion</w:t>
      </w:r>
      <w:r>
        <w:rPr>
          <w:rFonts w:ascii="Times New Roman;Times;serif" w:hAnsi="Times New Roman;Times;serif"/>
          <w:color w:val="000000"/>
          <w:sz w:val="20"/>
        </w:rPr>
        <w:t xml:space="preserve">.  The number of Conversion Shares issuable upon a conversion hereunder shall be determined by the quotient obtained by dividing (x) the outstanding principal amount of this Note to be converted </w:t>
      </w:r>
      <w:r>
        <w:rPr>
          <w:rFonts w:ascii="Times New Roman;Times;serif" w:hAnsi="Times New Roman;Times;serif"/>
          <w:i/>
          <w:color w:val="000000"/>
          <w:sz w:val="20"/>
        </w:rPr>
        <w:t>plus</w:t>
      </w:r>
      <w:r>
        <w:rPr>
          <w:rFonts w:ascii="Times New Roman;Times;serif" w:hAnsi="Times New Roman;Times;serif"/>
          <w:color w:val="000000"/>
          <w:sz w:val="20"/>
        </w:rPr>
        <w:t>, at the option of the Holder, all accrued and unpaid interest thereon (the “</w:t>
      </w:r>
      <w:r>
        <w:rPr>
          <w:rFonts w:ascii="Times New Roman;Times;serif" w:hAnsi="Times New Roman;Times;serif"/>
          <w:color w:val="000000"/>
          <w:sz w:val="20"/>
          <w:u w:val="single"/>
        </w:rPr>
        <w:t>Conversion Amount</w:t>
      </w:r>
      <w:r>
        <w:rPr>
          <w:rFonts w:ascii="Times New Roman;Times;serif" w:hAnsi="Times New Roman;Times;serif"/>
          <w:color w:val="000000"/>
          <w:sz w:val="20"/>
        </w:rPr>
        <w:t>”) by (y) the Conversion Price.</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1440" w:right="0" w:firstLine="720"/>
        <w:jc w:val="both"/>
        <w:rPr>
          <w:rFonts w:ascii="Times New Roman;Times;serif" w:hAnsi="Times New Roman;Times;serif"/>
          <w:color w:val="000000"/>
          <w:sz w:val="20"/>
        </w:rPr>
      </w:pPr>
      <w:r>
        <w:rPr>
          <w:rFonts w:ascii="Times New Roman;Times;serif" w:hAnsi="Times New Roman;Times;serif"/>
          <w:color w:val="000000"/>
          <w:sz w:val="20"/>
        </w:rPr>
        <w:t>(ii)          </w:t>
      </w:r>
      <w:r>
        <w:rPr>
          <w:rFonts w:ascii="Times New Roman;Times;serif" w:hAnsi="Times New Roman;Times;serif"/>
          <w:color w:val="000000"/>
          <w:sz w:val="20"/>
          <w:u w:val="single"/>
        </w:rPr>
        <w:t>Delivery of Conversion Shares Upon Conversion</w:t>
      </w:r>
      <w:r>
        <w:rPr>
          <w:rFonts w:ascii="Times New Roman;Times;serif" w:hAnsi="Times New Roman;Times;serif"/>
          <w:color w:val="000000"/>
          <w:sz w:val="20"/>
        </w:rPr>
        <w:t>. Not later than the earlier of (i) one (1) Trading Day and (ii) the number of Trading Days comprising the Standard Settlement Period (as defined below) after each Conversion Date (the “</w:t>
      </w:r>
      <w:r>
        <w:rPr>
          <w:rFonts w:ascii="Times New Roman;Times;serif" w:hAnsi="Times New Roman;Times;serif"/>
          <w:color w:val="000000"/>
          <w:sz w:val="20"/>
          <w:u w:val="single"/>
        </w:rPr>
        <w:t>Share Delivery Date</w:t>
      </w:r>
      <w:r>
        <w:rPr>
          <w:rFonts w:ascii="Times New Roman;Times;serif" w:hAnsi="Times New Roman;Times;serif"/>
          <w:color w:val="000000"/>
          <w:sz w:val="20"/>
        </w:rPr>
        <w:t xml:space="preserve">”), the Company shall deliver, or cause to be delivered, to the Holder (A) a certificate or book entry statement representing the Conversion Shares to be acquired upon conversion of this Note, which, following the Legend Removal Date, shall be free of restrictive legends and trading restrictions (other than those which may then be required by the Purchase Agreement) and (B) </w:t>
      </w:r>
      <w:r>
        <w:rPr>
          <w:rFonts w:ascii="Times New Roman;Times;serif" w:hAnsi="Times New Roman;Times;serif"/>
          <w:i/>
          <w:color w:val="000000"/>
          <w:sz w:val="20"/>
        </w:rPr>
        <w:t>plus</w:t>
      </w:r>
      <w:r>
        <w:rPr>
          <w:rFonts w:ascii="Times New Roman;Times;serif" w:hAnsi="Times New Roman;Times;serif"/>
          <w:color w:val="000000"/>
          <w:sz w:val="20"/>
        </w:rPr>
        <w:t xml:space="preserve">, if the Holder has not elected to include accrued and unpaid interest in the Conversion Amount pursuant to Section 4(c)(i) above, a certified check (or wire transfer) in the amount of such accrued and unpaid interest. Except in the case of any certificate or book entry statement bearing a restrictive legend, all Conversion Shares required to be delivered by the Company under this </w:t>
      </w:r>
      <w:r>
        <w:rPr>
          <w:rFonts w:ascii="Times New Roman;Times;serif" w:hAnsi="Times New Roman;Times;serif"/>
          <w:color w:val="000000"/>
          <w:sz w:val="20"/>
          <w:u w:val="single"/>
        </w:rPr>
        <w:t>Section 4(c)</w:t>
      </w:r>
      <w:r>
        <w:rPr>
          <w:rFonts w:ascii="Times New Roman;Times;serif" w:hAnsi="Times New Roman;Times;serif"/>
          <w:color w:val="000000"/>
          <w:sz w:val="20"/>
        </w:rPr>
        <w:t xml:space="preserve"> shall be delivered electronically through the Depository Trust Company or another established clearing corporation performing similar functions. If the Conversion Date is prior to the Legend Removal Date, then the Conversion Shares shall bear a restrictive legend in the following form, as appropriate:</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hanging="0"/>
        <w:jc w:val="both"/>
        <w:rPr>
          <w:color w:val="000000"/>
        </w:rPr>
      </w:pPr>
      <w:r>
        <w:rPr>
          <w:color w:val="000000"/>
        </w:rPr>
        <w:t>“</w:t>
      </w:r>
      <w:r>
        <w:rPr>
          <w:rFonts w:ascii="Times New Roman;Times;serif" w:hAnsi="Times New Roman;Times;serif"/>
          <w:color w:val="000000"/>
          <w:sz w:val="20"/>
        </w:rPr>
        <w:t>THE ISSUANCE AND SALE OF THE SECURITIES REPRESENTED BY THIS CERTIFICATE HAS NOT BEEN REGISTERED UNDER THE SECURITIES ACT OF 1933, AS AMENDED, OR APPLICABLE STATE SECURITIES LAWS. THE SECURITIES MAY NOT BE OFFERED FOR SALE, SOLD, TRANSFERRED OR ASSIGNED (I) IN THE ABSENCE OF (A) AN EFFECTIVE REGISTRATION STATEMENT FOR THE SECURITIES UNDER THE SECURITIES ACT OF 1933, AS AMENDED, OR (B) AN OPINION OF COUNSEL (WHICH COUNSEL SHALL BE SELECTED BY THE HOLDER), IN A GENERALLY ACCEPTABLE FORM, THAT REGISTRATION IS NOT REQUIRED UNDER SAID ACT OR (II) UNLESS SOLD PURSUANT TO RULE 144 OR RULE 144A UNDER SAID ACT. NOTWITHSTANDING THE FOREGOING, THE SECURITIES MAY BE PLEDGED IN CONNECTION WITH A BONA FIDE MARGIN ACCOUNT OR OTHER LOAN OR FINANCING ARRANGEMENT SECURED BY THE SECURITIES.”</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7</w:t>
      </w:r>
    </w:p>
    <w:p>
      <w:pPr>
        <w:pStyle w:val="HorizontalLine"/>
        <w:pBdr>
          <w:bottom w:val="single" w:sz="12" w:space="0" w:color="808080"/>
        </w:pBdr>
        <w:bidi w:val="0"/>
        <w:spacing w:before="200" w:after="200"/>
        <w:jc w:val="left"/>
        <w:rPr/>
      </w:pPr>
      <w:r>
        <w:rPr/>
      </w:r>
    </w:p>
    <w:p>
      <w:pPr>
        <w:pStyle w:val="TextBody"/>
        <w:bidi w:val="0"/>
        <w:spacing w:lineRule="auto" w:line="300" w:before="0" w:after="0"/>
        <w:ind w:left="810" w:right="0" w:firstLine="630"/>
        <w:jc w:val="both"/>
        <w:rPr>
          <w:rFonts w:ascii="Times New Roman;Times;serif" w:hAnsi="Times New Roman;Times;serif"/>
          <w:color w:val="000000"/>
          <w:sz w:val="20"/>
        </w:rPr>
      </w:pPr>
      <w:r>
        <w:rPr>
          <w:rFonts w:ascii="Times New Roman;Times;serif" w:hAnsi="Times New Roman;Times;serif"/>
          <w:color w:val="000000"/>
          <w:sz w:val="20"/>
        </w:rPr>
        <w:t>As used herein, “</w:t>
      </w:r>
      <w:r>
        <w:rPr>
          <w:rFonts w:ascii="Times New Roman;Times;serif" w:hAnsi="Times New Roman;Times;serif"/>
          <w:color w:val="000000"/>
          <w:sz w:val="20"/>
          <w:u w:val="single"/>
        </w:rPr>
        <w:t>Standard Settlement Period</w:t>
      </w:r>
      <w:r>
        <w:rPr>
          <w:rFonts w:ascii="Times New Roman;Times;serif" w:hAnsi="Times New Roman;Times;serif"/>
          <w:color w:val="000000"/>
          <w:sz w:val="20"/>
        </w:rPr>
        <w:t>” means the standard settlement period, expressed in a number of Trading Days, on the Company’s primary Trading Market with respect to the Ordinary Shares as in effect on the date of delivery of the Notice of Conversion.</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1440" w:right="0" w:firstLine="720"/>
        <w:jc w:val="both"/>
        <w:rPr>
          <w:rFonts w:ascii="Times New Roman;Times;serif" w:hAnsi="Times New Roman;Times;serif"/>
          <w:color w:val="000000"/>
          <w:sz w:val="20"/>
        </w:rPr>
      </w:pPr>
      <w:r>
        <w:rPr>
          <w:rFonts w:ascii="Times New Roman;Times;serif" w:hAnsi="Times New Roman;Times;serif"/>
          <w:color w:val="000000"/>
          <w:sz w:val="20"/>
        </w:rPr>
        <w:t>(iii)          </w:t>
      </w:r>
      <w:r>
        <w:rPr>
          <w:rFonts w:ascii="Times New Roman;Times;serif" w:hAnsi="Times New Roman;Times;serif"/>
          <w:color w:val="000000"/>
          <w:sz w:val="20"/>
          <w:u w:val="single"/>
        </w:rPr>
        <w:t>Failure to Deliver Conversion Shares</w:t>
      </w:r>
      <w:r>
        <w:rPr>
          <w:rFonts w:ascii="Times New Roman;Times;serif" w:hAnsi="Times New Roman;Times;serif"/>
          <w:color w:val="000000"/>
          <w:sz w:val="20"/>
        </w:rPr>
        <w:t>.  If, in the case of any Notice of Conversion, such Conversion Shares are not delivered to or as directed by the applicable Holder by the Share Delivery Date, the Holder shall be entitled to elect by written notice to the Company at any time on or before its receipt of such Conversion Shares, to rescind such conversion, in which event the Company shall promptly return to the Holder any original Note delivered to the Company and the Holder shall promptly return to the Company the Conversion Shares issued to such Holder pursuant to the rescinded Conversion Notice.</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1440" w:right="0" w:firstLine="720"/>
        <w:jc w:val="both"/>
        <w:rPr>
          <w:rFonts w:ascii="Times New Roman;Times;serif" w:hAnsi="Times New Roman;Times;serif"/>
          <w:color w:val="000000"/>
          <w:sz w:val="20"/>
        </w:rPr>
      </w:pPr>
      <w:r>
        <w:rPr>
          <w:rFonts w:ascii="Times New Roman;Times;serif" w:hAnsi="Times New Roman;Times;serif"/>
          <w:color w:val="000000"/>
          <w:sz w:val="20"/>
        </w:rPr>
        <w:t>(iv)          </w:t>
      </w:r>
      <w:r>
        <w:rPr>
          <w:rFonts w:ascii="Times New Roman;Times;serif" w:hAnsi="Times New Roman;Times;serif"/>
          <w:color w:val="000000"/>
          <w:sz w:val="20"/>
          <w:u w:val="single"/>
        </w:rPr>
        <w:t>Obligation Absolute</w:t>
      </w:r>
      <w:r>
        <w:rPr>
          <w:rFonts w:ascii="Times New Roman;Times;serif" w:hAnsi="Times New Roman;Times;serif"/>
          <w:color w:val="000000"/>
          <w:sz w:val="20"/>
        </w:rPr>
        <w:t xml:space="preserve">.  The Company’s obligations to issue and deliver the Conversion Shares upon conversion of this Note in accordance with the terms hereof are absolute and unconditional, irrespective of any action or inaction by the Holder to enforce the same, any waiver or consent with respect to any provision hereof, the recovery of any judgment against any Person or any action to enforce the same, or any setoff, counterclaim, recoupment, limitation or termination, or any breach or alleged breach by the Holder or any other Person of any obligation to the Company or any violation or alleged violation of law by the Holder or any other Person, and irrespective of any other circumstance which might otherwise limit such obligation of the Company to the Holder in connection with the issuance of such Conversion Shares;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however</w:t>
      </w:r>
      <w:r>
        <w:rPr>
          <w:rFonts w:ascii="Times New Roman;Times;serif" w:hAnsi="Times New Roman;Times;serif"/>
          <w:color w:val="000000"/>
          <w:sz w:val="20"/>
        </w:rPr>
        <w:t>, that such delivery shall not operate as a waiver by the Company of any such action the Company may have against the Holder.  In the event the Holder of this Note shall elect to convert any or all of the outstanding principal amount hereof (</w:t>
      </w:r>
      <w:r>
        <w:rPr>
          <w:rFonts w:ascii="Times New Roman;Times;serif" w:hAnsi="Times New Roman;Times;serif"/>
          <w:i/>
          <w:color w:val="000000"/>
          <w:sz w:val="20"/>
        </w:rPr>
        <w:t>plus</w:t>
      </w:r>
      <w:r>
        <w:rPr>
          <w:rFonts w:ascii="Times New Roman;Times;serif" w:hAnsi="Times New Roman;Times;serif"/>
          <w:color w:val="000000"/>
          <w:sz w:val="20"/>
        </w:rPr>
        <w:t xml:space="preserve">, if applicable, any accrued and unpaid interest thereon), the Company may not refuse conversion based on any claim that the Holder or anyone associated or affiliated with the Holder has been engaged in any violation of law, agreement or for any other reason, unless an injunction from a court, on notice to Holder, restraining and or enjoining conversion of all or part of this Note shall have been sought and obtained, and the Company posts a surety bond for the benefit of the Holder in the amount of 150% of the outstanding principal amount of this Note, which is subject to the injunction, which bond shall remain in effect until the completion of arbitration/litigation of the underlying dispute and the proceeds of which shall be payable to the Holder to the extent it obtains judgment.  In the absence of such injunction, the Company shall issue Conversion Shares required to be delivered hereunder in accordance with the terms hereof or, if applicable, cash, upon a properly noticed conversion. If the Company fails for any reason to deliver to the Holder such certificate or book entry statement pursuant to Section 4(c)(ii) by the Share Delivery Date, the Company shall pay to the Holder, in cash, as liquidated damages and not as a penalty, for each $1,000 of principal amount being converted, $10 per Trading Day (increasing to $20 per Trading Day on the fifth (5th) Trading Day after such liquidated damages begin to accrue) for each Trading Day after such Share Delivery Date until such certificates are delivered or Holder rescinds such conversion. Nothing herein shall limit a Holder’s right to pursue actual damages or declare an Event of Default pursuant to </w:t>
      </w:r>
      <w:r>
        <w:rPr>
          <w:rFonts w:ascii="Times New Roman;Times;serif" w:hAnsi="Times New Roman;Times;serif"/>
          <w:color w:val="000000"/>
          <w:sz w:val="20"/>
          <w:u w:val="single"/>
        </w:rPr>
        <w:t>Section 8</w:t>
      </w:r>
      <w:r>
        <w:rPr>
          <w:rFonts w:ascii="Times New Roman;Times;serif" w:hAnsi="Times New Roman;Times;serif"/>
          <w:color w:val="000000"/>
          <w:sz w:val="20"/>
        </w:rPr>
        <w:t xml:space="preserve"> for the Company’s failure to deliver Conversion Shares within the period specified herein and the Holder shall have the right to pursue all remedies available to it hereunder, at law or in equity including, without limitation, a decree of specific performance and/or injunctive relief.  The exercise of any such rights shall not prohibit the Holder from seeking to enforce damages pursuant to any other Section hereof or under applicable law.</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8</w:t>
      </w:r>
    </w:p>
    <w:p>
      <w:pPr>
        <w:pStyle w:val="HorizontalLine"/>
        <w:pBdr>
          <w:bottom w:val="single" w:sz="12" w:space="0" w:color="808080"/>
        </w:pBdr>
        <w:bidi w:val="0"/>
        <w:spacing w:before="200" w:after="200"/>
        <w:jc w:val="left"/>
        <w:rPr/>
      </w:pPr>
      <w:r>
        <w:rPr/>
      </w:r>
    </w:p>
    <w:p>
      <w:pPr>
        <w:pStyle w:val="TextBody"/>
        <w:bidi w:val="0"/>
        <w:spacing w:lineRule="auto" w:line="300" w:before="0" w:after="0"/>
        <w:ind w:left="1440" w:right="0" w:firstLine="720"/>
        <w:jc w:val="both"/>
        <w:rPr>
          <w:rFonts w:ascii="Times New Roman;Times;serif" w:hAnsi="Times New Roman;Times;serif"/>
          <w:color w:val="000000"/>
          <w:sz w:val="20"/>
        </w:rPr>
      </w:pPr>
      <w:r>
        <w:rPr>
          <w:rFonts w:ascii="Times New Roman;Times;serif" w:hAnsi="Times New Roman;Times;serif"/>
          <w:color w:val="000000"/>
          <w:sz w:val="20"/>
        </w:rPr>
        <w:t>(v)          </w:t>
      </w:r>
      <w:r>
        <w:rPr>
          <w:rFonts w:ascii="Times New Roman;Times;serif" w:hAnsi="Times New Roman;Times;serif"/>
          <w:color w:val="000000"/>
          <w:sz w:val="20"/>
          <w:u w:val="single"/>
        </w:rPr>
        <w:t>Compensation for Buy-In on Failure to Timely Deliver Conversion Shares Upon Conversion</w:t>
      </w:r>
      <w:r>
        <w:rPr>
          <w:rFonts w:ascii="Times New Roman;Times;serif" w:hAnsi="Times New Roman;Times;serif"/>
          <w:color w:val="000000"/>
          <w:sz w:val="20"/>
        </w:rPr>
        <w:t xml:space="preserve">. In addition to any other rights available to the Holder, if the Company fails for any reason to deliver to the Holder such Conversion Shares by the Share Delivery Date pursuant to </w:t>
      </w:r>
      <w:r>
        <w:rPr>
          <w:rFonts w:ascii="Times New Roman;Times;serif" w:hAnsi="Times New Roman;Times;serif"/>
          <w:color w:val="000000"/>
          <w:sz w:val="20"/>
          <w:u w:val="single"/>
        </w:rPr>
        <w:t>Section 4(c)(ii)</w:t>
      </w:r>
      <w:r>
        <w:rPr>
          <w:rFonts w:ascii="Times New Roman;Times;serif" w:hAnsi="Times New Roman;Times;serif"/>
          <w:color w:val="000000"/>
          <w:sz w:val="20"/>
        </w:rPr>
        <w:t>, and if after such Share Delivery Date the Holder is required by its brokerage firm to purchase (in an open market transaction or otherwise), or the Holder’s brokerage firm otherwise purchases, Ordinary Shares to deliver in satisfaction of a sale by the Holder of the Conversion Shares which the Holder was entitled to receive upon the conversion relating to such Share Delivery Date (a “</w:t>
      </w:r>
      <w:r>
        <w:rPr>
          <w:rFonts w:ascii="Times New Roman;Times;serif" w:hAnsi="Times New Roman;Times;serif"/>
          <w:color w:val="000000"/>
          <w:sz w:val="20"/>
          <w:u w:val="single"/>
        </w:rPr>
        <w:t>Buy-In</w:t>
      </w:r>
      <w:r>
        <w:rPr>
          <w:rFonts w:ascii="Times New Roman;Times;serif" w:hAnsi="Times New Roman;Times;serif"/>
          <w:color w:val="000000"/>
          <w:sz w:val="20"/>
        </w:rPr>
        <w:t>”), then the Company shall (A) pay in cash to the Holder (in addition to any other remedies available to or elected by the Holder) the amount, if any, by which (x) the Holder’s total purchase price (including any brokerage commissions) for the Ordinary Shares so purchased exceeds (y) the product of (1) the aggregate number of Ordinary Shares that the Holder was entitled to receive from the conversion at issue multiplied by (2) the actual sale price at which the sell order giving rise to such purchase obligation was executed (including any brokerage commissions) and (B) at the option of the Holder, either reissue (if surrendered) this Note in a principal amount equal to the principal amount (</w:t>
      </w:r>
      <w:r>
        <w:rPr>
          <w:rFonts w:ascii="Times New Roman;Times;serif" w:hAnsi="Times New Roman;Times;serif"/>
          <w:i/>
          <w:color w:val="000000"/>
          <w:sz w:val="20"/>
        </w:rPr>
        <w:t>plus</w:t>
      </w:r>
      <w:r>
        <w:rPr>
          <w:rFonts w:ascii="Times New Roman;Times;serif" w:hAnsi="Times New Roman;Times;serif"/>
          <w:color w:val="000000"/>
          <w:sz w:val="20"/>
        </w:rPr>
        <w:t xml:space="preserve">, if applicable, any accrued and unpaid interest thereon) of the attempted conversion (in which case such conversion shall be deemed rescinded) or deliver to the Holder the number of Ordinary Shares that would have been issued if the Company had timely complied with its delivery requirements under </w:t>
      </w:r>
      <w:r>
        <w:rPr>
          <w:rFonts w:ascii="Times New Roman;Times;serif" w:hAnsi="Times New Roman;Times;serif"/>
          <w:color w:val="000000"/>
          <w:sz w:val="20"/>
          <w:u w:val="single"/>
        </w:rPr>
        <w:t>Section 4(c)(ii)</w:t>
      </w:r>
      <w:r>
        <w:rPr>
          <w:rFonts w:ascii="Times New Roman;Times;serif" w:hAnsi="Times New Roman;Times;serif"/>
          <w:color w:val="000000"/>
          <w:sz w:val="20"/>
        </w:rPr>
        <w:t>.  For example, if the Holder purchases Ordinary Shares having a total purchase price of $11,000 to cover a Buy-In with respect to an attempted conversion of this Note with respect to which the actual sale price of the Conversion Shares (including any brokerage commissions) giving rise to such purchase obligation was a total of $10,000 under clause (A) of the immediately preceding sentence, the Company shall be required to pay the Holder $1,000.  The Holder shall provide the Company written notice indicating the amounts payable to the Holder in respect of the Buy-In and, upon request of the Company, evidence of the amount of such loss.  Nothing herein shall limit a Holder’s right to pursue any other remedies available to it hereunder, at law or in equity including, without limitation, a decree of specific performance and/or injunctive relief with respect to the Company’s failure to timely deliver Conversion Shares upon conversion of this Note as required pursuant to the terms hereof.</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1440" w:right="0" w:firstLine="720"/>
        <w:jc w:val="both"/>
        <w:rPr>
          <w:rFonts w:ascii="Times New Roman;Times;serif" w:hAnsi="Times New Roman;Times;serif"/>
          <w:color w:val="000000"/>
          <w:sz w:val="20"/>
        </w:rPr>
      </w:pPr>
      <w:r>
        <w:rPr>
          <w:rFonts w:ascii="Times New Roman;Times;serif" w:hAnsi="Times New Roman;Times;serif"/>
          <w:color w:val="000000"/>
          <w:sz w:val="20"/>
        </w:rPr>
        <w:t>(vi)          </w:t>
      </w:r>
      <w:r>
        <w:rPr>
          <w:rFonts w:ascii="Times New Roman;Times;serif" w:hAnsi="Times New Roman;Times;serif"/>
          <w:color w:val="000000"/>
          <w:sz w:val="20"/>
          <w:u w:val="single"/>
        </w:rPr>
        <w:t>Reservation of Shares Issuable Upon Conversion</w:t>
      </w:r>
      <w:r>
        <w:rPr>
          <w:rFonts w:ascii="Times New Roman;Times;serif" w:hAnsi="Times New Roman;Times;serif"/>
          <w:color w:val="000000"/>
          <w:sz w:val="20"/>
        </w:rPr>
        <w:t>. The Company covenants that it will at all times reserve and keep available out of its authorized and unissued Ordinary Shares for the sole purpose of issuance upon conversion of this Note, each as herein provided, free from preemptive rights or any other actual contingent purchase rights of Persons other than the Holder (and the other holders of the Notes), not less than 100% of such aggregate number of Ordinary Shares as shall (subject to the terms and conditions set forth in the Purchase Agreement) be issuable (taking into account the adjustments and restrictions of Section 5) upon the conversion of the then outstanding principal amount of this Note (</w:t>
      </w:r>
      <w:r>
        <w:rPr>
          <w:rFonts w:ascii="Times New Roman;Times;serif" w:hAnsi="Times New Roman;Times;serif"/>
          <w:i/>
          <w:color w:val="000000"/>
          <w:sz w:val="20"/>
        </w:rPr>
        <w:t>plus</w:t>
      </w:r>
      <w:r>
        <w:rPr>
          <w:rFonts w:ascii="Times New Roman;Times;serif" w:hAnsi="Times New Roman;Times;serif"/>
          <w:color w:val="000000"/>
          <w:sz w:val="20"/>
        </w:rPr>
        <w:t>, if applicable, any accrued and unpaid interest thereon) at the Conversion Price then in effect (the “</w:t>
      </w:r>
      <w:r>
        <w:rPr>
          <w:rFonts w:ascii="Times New Roman;Times;serif" w:hAnsi="Times New Roman;Times;serif"/>
          <w:color w:val="000000"/>
          <w:sz w:val="20"/>
          <w:u w:val="single"/>
        </w:rPr>
        <w:t>Required Reserve Amount</w:t>
      </w:r>
      <w:r>
        <w:rPr>
          <w:rFonts w:ascii="Times New Roman;Times;serif" w:hAnsi="Times New Roman;Times;serif"/>
          <w:color w:val="000000"/>
          <w:sz w:val="20"/>
        </w:rPr>
        <w:t>”).  The Company covenants that all Ordinary Shares that shall be so issuable shall, upon issue, be duly authorized, validly issued, fully paid and nonassessable. If, notwithstanding this Section 4(c)(vi), and not in limitation thereof, at any time while any of the Notes remain outstanding, the Company does not have a sufficient number of authorized and unreserved Ordinary Shares to satisfy its obligation to reserve the Required Reserve Amount (an “</w:t>
      </w:r>
      <w:r>
        <w:rPr>
          <w:rFonts w:ascii="Times New Roman;Times;serif" w:hAnsi="Times New Roman;Times;serif"/>
          <w:color w:val="000000"/>
          <w:sz w:val="20"/>
          <w:u w:val="single"/>
        </w:rPr>
        <w:t>Authorized Share Failure</w:t>
      </w:r>
      <w:r>
        <w:rPr>
          <w:rFonts w:ascii="Times New Roman;Times;serif" w:hAnsi="Times New Roman;Times;serif"/>
          <w:color w:val="000000"/>
          <w:sz w:val="20"/>
        </w:rPr>
        <w:t>”), then the Company shall immediately take all action necessary to increase the Company’s authorized Ordinary Shares to an amount sufficient to allow the Company to reserve the Required Reserve Amount for all the Notes then outstanding.  Without limiting the generality of the foregoing sentence, as soon as practicable after the date of the occurrence of an Authorized Share Failure, but in no event later than sixty (60) days after the occurrence of such Authorized Share Failure, the Company shall hold a meeting of its shareholders for the approval of an increase in the number of authorized Ordinary Shares. In connection with such meeting, the Company shall provide each shareholder with a proxy statement and shall use its best efforts to solicit its shareholders’ approval of such increase in authorized Ordinary Shares and to cause its board of directors to recommend to the shareholders that they approve such proposal. Notwithstanding the foregoing, if any such time of an Authorized Share Failure, the Company is able to obtain the written consent of a majority of the shares of its issued and outstanding Ordinary Shares to approve the increase in the number of authorized Ordinary Shares, the Company may satisfy this obligation by obtaining such consent and submitting for filing with the SEC an Information Statement on Schedule 14C.</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9</w:t>
      </w:r>
    </w:p>
    <w:p>
      <w:pPr>
        <w:pStyle w:val="HorizontalLine"/>
        <w:pBdr>
          <w:bottom w:val="single" w:sz="12" w:space="0" w:color="808080"/>
        </w:pBdr>
        <w:bidi w:val="0"/>
        <w:spacing w:before="200" w:after="200"/>
        <w:jc w:val="left"/>
        <w:rPr/>
      </w:pPr>
      <w:r>
        <w:rPr/>
      </w:r>
    </w:p>
    <w:p>
      <w:pPr>
        <w:pStyle w:val="TextBody"/>
        <w:bidi w:val="0"/>
        <w:spacing w:lineRule="auto" w:line="300" w:before="0" w:after="0"/>
        <w:ind w:left="1440" w:right="0" w:firstLine="720"/>
        <w:jc w:val="both"/>
        <w:rPr>
          <w:rFonts w:ascii="Times New Roman;Times;serif" w:hAnsi="Times New Roman;Times;serif"/>
          <w:color w:val="000000"/>
          <w:sz w:val="20"/>
        </w:rPr>
      </w:pPr>
      <w:r>
        <w:rPr>
          <w:rFonts w:ascii="Times New Roman;Times;serif" w:hAnsi="Times New Roman;Times;serif"/>
          <w:color w:val="000000"/>
          <w:sz w:val="20"/>
        </w:rPr>
        <w:t>(vii)          </w:t>
      </w:r>
      <w:r>
        <w:rPr>
          <w:rFonts w:ascii="Times New Roman;Times;serif" w:hAnsi="Times New Roman;Times;serif"/>
          <w:color w:val="000000"/>
          <w:sz w:val="20"/>
          <w:u w:val="single"/>
        </w:rPr>
        <w:t>Fractional Shares</w:t>
      </w:r>
      <w:r>
        <w:rPr>
          <w:rFonts w:ascii="Times New Roman;Times;serif" w:hAnsi="Times New Roman;Times;serif"/>
          <w:color w:val="000000"/>
          <w:sz w:val="20"/>
        </w:rPr>
        <w:t>. No fractional shares or scrip representing fractional shares shall be issued upon the conversion of this Note.  As to any fraction of a share which the Holder would otherwise be entitled to purchase upon such conversion, the Company shall at its election, either pay a cash adjustment in respect of such final fraction in an amount equal to such fraction multiplied by the Conversion Price or round down to the next whole share.</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1440" w:right="0" w:firstLine="720"/>
        <w:jc w:val="both"/>
        <w:rPr>
          <w:rFonts w:ascii="Times New Roman;Times;serif" w:hAnsi="Times New Roman;Times;serif"/>
          <w:color w:val="000000"/>
          <w:sz w:val="20"/>
        </w:rPr>
      </w:pPr>
      <w:r>
        <w:rPr>
          <w:rFonts w:ascii="Times New Roman;Times;serif" w:hAnsi="Times New Roman;Times;serif"/>
          <w:color w:val="000000"/>
          <w:sz w:val="20"/>
        </w:rPr>
        <w:t>(viii)          </w:t>
      </w:r>
      <w:r>
        <w:rPr>
          <w:rFonts w:ascii="Times New Roman;Times;serif" w:hAnsi="Times New Roman;Times;serif"/>
          <w:color w:val="000000"/>
          <w:sz w:val="20"/>
          <w:u w:val="single"/>
        </w:rPr>
        <w:t>Transfer Taxes and Expenses</w:t>
      </w:r>
      <w:r>
        <w:rPr>
          <w:rFonts w:ascii="Times New Roman;Times;serif" w:hAnsi="Times New Roman;Times;serif"/>
          <w:color w:val="000000"/>
          <w:sz w:val="20"/>
        </w:rPr>
        <w:t>.  The issuance of Conversion Shares on conversion of this Note shall be made without charge to the Holder hereof for any documentary stamp or similar taxes that may be payable in respect of the issue or delivery of such Conversion Shares, provided that the Company shall not be required to pay any tax that may be payable in respect of any transfer involved in the issuance and delivery of any such Conversion Shares upon conversion in a name other than that of the Holder of this Note so converted and the Company shall not be required to issue or deliver such Conversion Shares unless or until the Person or Persons requesting the issuance thereof shall have paid to the Company the amount of such tax or shall have established to the satisfaction of the Company that such tax has been paid.  The Company shall pay all Transfer Agent fees required for same-day processing of any Notice of Conversion and all fees to the Depository Trust Company (or another established clearing corporation performing similar functions) required for same-day electronic delivery of the Conversion Shares.</w:t>
      </w:r>
    </w:p>
    <w:p>
      <w:pPr>
        <w:pStyle w:val="TextBody"/>
        <w:bidi w:val="0"/>
        <w:spacing w:lineRule="auto" w:line="300" w:before="0" w:after="0"/>
        <w:jc w:val="left"/>
        <w:rPr>
          <w:color w:val="000000"/>
        </w:rPr>
      </w:pPr>
      <w:r>
        <w:rPr>
          <w:color w:val="000000"/>
        </w:rPr>
        <w:t> </w:t>
      </w:r>
    </w:p>
    <w:p>
      <w:pPr>
        <w:pStyle w:val="TextBody"/>
        <w:bidi w:val="0"/>
        <w:spacing w:lineRule="auto" w:line="240"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(d)          </w:t>
      </w:r>
      <w:r>
        <w:rPr>
          <w:rFonts w:ascii="Times New Roman;Times;serif" w:hAnsi="Times New Roman;Times;serif"/>
          <w:color w:val="000000"/>
          <w:sz w:val="20"/>
          <w:u w:val="single"/>
        </w:rPr>
        <w:t>Holder’s Conversion Limitations</w:t>
      </w:r>
      <w:r>
        <w:rPr>
          <w:rFonts w:ascii="Times New Roman;Times;serif" w:hAnsi="Times New Roman;Times;serif"/>
          <w:color w:val="000000"/>
          <w:sz w:val="20"/>
        </w:rPr>
        <w:t>.  The Company shall not effect any conversion of this Note, and a Holder shall not have the right to convert any portion of this Note, to the extent that after giving effect to the conversion set forth on the applicable Notice of Conversion, the Holder (together with the Holder’s Affiliates, and any other Persons acting as a group together with the Holder or any of the Holder’s Affiliates (such Persons, “</w:t>
      </w:r>
      <w:r>
        <w:rPr>
          <w:rFonts w:ascii="Times New Roman;Times;serif" w:hAnsi="Times New Roman;Times;serif"/>
          <w:color w:val="000000"/>
          <w:sz w:val="20"/>
          <w:u w:val="single"/>
        </w:rPr>
        <w:t>Attribution Parties</w:t>
      </w:r>
      <w:r>
        <w:rPr>
          <w:rFonts w:ascii="Times New Roman;Times;serif" w:hAnsi="Times New Roman;Times;serif"/>
          <w:color w:val="000000"/>
          <w:sz w:val="20"/>
        </w:rPr>
        <w:t>”)) would beneficially own in excess of the Beneficial Ownership Limitation (as defined below).  For purposes of the foregoing sentence, the number of Ordinary Shares beneficially owned by the Holder and its Affiliates and Attribution Parties shall include the number of Ordinary Shares issuable upon conversion of this Note with respect to which such determination is being made, but shall exclude the number of Ordinary Shares which would be issuable upon (i) conversion of the remaining, unconverted principal amount of this Note (</w:t>
      </w:r>
      <w:r>
        <w:rPr>
          <w:rFonts w:ascii="Times New Roman;Times;serif" w:hAnsi="Times New Roman;Times;serif"/>
          <w:i/>
          <w:color w:val="000000"/>
          <w:sz w:val="20"/>
        </w:rPr>
        <w:t>plus</w:t>
      </w:r>
      <w:r>
        <w:rPr>
          <w:rFonts w:ascii="Times New Roman;Times;serif" w:hAnsi="Times New Roman;Times;serif"/>
          <w:color w:val="000000"/>
          <w:sz w:val="20"/>
        </w:rPr>
        <w:t>, if applicable, any accrued and unpaid interest thereon) beneficially owned by the Holder or any of its Affiliates or Attribution Parties and (ii) exercise or conversion of the unexercised or unconverted portion of any other securities of the Company subject to a limitation on conversion or exercise analogous to the limitation contained herein (including, without limitation, any Additional Notes, the Initial Warrants or any Additional Warrants) beneficially owned by the Holder or any of its Affiliates or Attribution Parties.  Except as set forth in the preceding sentence, for purposes of this Section 4(d), beneficial ownership shall be calculated in accordance with Section 13(d) of the Exchange Act and the rules and regulations promulgated thereunder.  To the extent that the limitation contained in this Section 4(d) applies, the determination of whether this Note is convertible (in relation to other securities owned by the Holder together with any Affiliates and Attribution Parties) and of which principal amount (</w:t>
      </w:r>
      <w:r>
        <w:rPr>
          <w:rFonts w:ascii="Times New Roman;Times;serif" w:hAnsi="Times New Roman;Times;serif"/>
          <w:i/>
          <w:color w:val="000000"/>
          <w:sz w:val="20"/>
        </w:rPr>
        <w:t>plus</w:t>
      </w:r>
      <w:r>
        <w:rPr>
          <w:rFonts w:ascii="Times New Roman;Times;serif" w:hAnsi="Times New Roman;Times;serif"/>
          <w:color w:val="000000"/>
          <w:sz w:val="20"/>
        </w:rPr>
        <w:t>, if applicable, any accrued and unpaid interest thereon) of this Note is convertible shall be in the sole discretion of the Holder, and the submission of a Notice of Conversion shall be deemed to be the Holder’s determination of whether this Note may be converted (in relation to other securities owned by the Holder together with any Affiliates or Attribution Parties) and which principal amount (</w:t>
      </w:r>
      <w:r>
        <w:rPr>
          <w:rFonts w:ascii="Times New Roman;Times;serif" w:hAnsi="Times New Roman;Times;serif"/>
          <w:i/>
          <w:color w:val="000000"/>
          <w:sz w:val="20"/>
        </w:rPr>
        <w:t>plus</w:t>
      </w:r>
      <w:r>
        <w:rPr>
          <w:rFonts w:ascii="Times New Roman;Times;serif" w:hAnsi="Times New Roman;Times;serif"/>
          <w:color w:val="000000"/>
          <w:sz w:val="20"/>
        </w:rPr>
        <w:t>, if applicable, any accrued and unpaid interest thereon) of this Note is convertible, in each case subject to the Beneficial Ownership Limitation, and the Company shall have no obligation to verify or confirm the accuracy of such determination.  In addition, a determination as to any group status as contemplated above shall be determined in accordance with Section 13(d) of the Exchange Act and the rules and regulations promulgated thereunder.   For purposes of this Section 4(d), in determining the number of outstanding Ordinary Shares, the Holder may rely on the number of Ordinary Shares as reflected in (A) the Company’s most recent periodic or annual report filed with the Commission, as the case may be, (B) a more recent public announcement by the Company, or (C) a more recent written notice by the Company or the Transfer Agent setting forth the number of Ordinary Shares outstanding.  Upon the written or oral request of a Holder, the Company shall within one Trading Day confirm orally and in writing to the Holder the number of Ordinary Shares then outstanding.  In any case, the number of outstanding Ordinary Shares shall be determined after giving effect to the conversion or exercise of securities of the Company, including this Note, any Additional Notes, the Initial Warrants, any Additional Warrants and ordinary share purchase warrants issued pursuant to that certain Share Purchase Agreement, among the Company, Oratech Pharma, Inc., and the Holder, dated as of January 12, 2026, by the Holder or its Affiliates or Attribution Parties since the date as of which such number of outstanding Ordinary Shares was reported. The “</w:t>
      </w:r>
      <w:r>
        <w:rPr>
          <w:rFonts w:ascii="Times New Roman;Times;serif" w:hAnsi="Times New Roman;Times;serif"/>
          <w:color w:val="000000"/>
          <w:sz w:val="20"/>
          <w:u w:val="single"/>
        </w:rPr>
        <w:t>Beneficial Ownership Limitation</w:t>
      </w:r>
      <w:r>
        <w:rPr>
          <w:rFonts w:ascii="Times New Roman;Times;serif" w:hAnsi="Times New Roman;Times;serif"/>
          <w:color w:val="000000"/>
          <w:sz w:val="20"/>
        </w:rPr>
        <w:t>” shall be [4.99%/45.0%] of the number of Ordinary Shares outstanding immediately after giving effect to the issuance of Ordinary Shares issuable upon conversion of this Note. The Holder, upon notice to the Company, may increase or decrease the Beneficial Ownership Limitation, provided that the Beneficial Ownership Limitation in no event exceeds [4.99/49.99%] of the number of Ordinary Shares outstanding immediately after giving effect to the issuance of Ordinary Shares upon conversion of this Note held by the Holder and the provisions of this Section 4(d) shall continue to apply; provided that any increase in the Beneficial Ownership Limitation will not be effective until the sixty-first (61st) day after such notice is delivered to the Company. The Beneficial Ownership Limitation provisions of this paragraph shall be construed and implemented in a manner otherwise than in strict conformity with the terms of this Section 4(d) to correct this paragraph (or any portion hereof) which may be defective or inconsistent with the intended Beneficial Ownership Limitation contained herein or to make changes or supplements necessary or desirable to properly give effect to such limitation. The limitations contained in this paragraph shall apply to a successor holder of this Note.</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10</w:t>
      </w:r>
    </w:p>
    <w:p>
      <w:pPr>
        <w:pStyle w:val="HorizontalLine"/>
        <w:pBdr>
          <w:bottom w:val="single" w:sz="12" w:space="0" w:color="808080"/>
        </w:pBdr>
        <w:bidi w:val="0"/>
        <w:spacing w:before="200" w:after="200"/>
        <w:jc w:val="left"/>
        <w:rPr/>
      </w:pPr>
      <w:r>
        <w:rPr/>
      </w:r>
    </w:p>
    <w:p>
      <w:pPr>
        <w:pStyle w:val="TextBody"/>
        <w:bidi w:val="0"/>
        <w:spacing w:lineRule="auto" w:line="300"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(e)          </w:t>
      </w:r>
      <w:r>
        <w:rPr>
          <w:rFonts w:ascii="Times New Roman;Times;serif" w:hAnsi="Times New Roman;Times;serif"/>
          <w:color w:val="000000"/>
          <w:sz w:val="20"/>
          <w:u w:val="single"/>
        </w:rPr>
        <w:t>[Reserved.]</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(f)          </w:t>
      </w:r>
      <w:r>
        <w:rPr>
          <w:rFonts w:ascii="Times New Roman;Times;serif" w:hAnsi="Times New Roman;Times;serif"/>
          <w:color w:val="000000"/>
          <w:sz w:val="20"/>
          <w:u w:val="single"/>
        </w:rPr>
        <w:t>Holder of Record of Conversion Shares</w:t>
      </w:r>
      <w:r>
        <w:rPr>
          <w:rFonts w:ascii="Times New Roman;Times;serif" w:hAnsi="Times New Roman;Times;serif"/>
          <w:color w:val="000000"/>
          <w:sz w:val="20"/>
        </w:rPr>
        <w:t>. The Person in whose name any Conversion Share is issuable or deliverable upon conversion of this Note will be deemed for all corporate purposes to hold such share as of the close of business on the date of receipt by such Person of the Conversion Shares for such conversion.</w:t>
      </w:r>
    </w:p>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10" w:name="z1d7864fd75c34f13aff1e6ea92b46456"/>
      <w:bookmarkStart w:id="11" w:name="z1d7864fd75c34f13aff1e6ea92b46456"/>
      <w:bookmarkEnd w:id="11"/>
    </w:p>
    <w:tbl>
      <w:tblPr>
        <w:tblW w:w="2613" w:type="dxa"/>
        <w:jc w:val="left"/>
        <w:tblInd w:w="0" w:type="dxa"/>
        <w:tblLayout w:type="fixed"/>
        <w:tblCellMar>
          <w:top w:w="0" w:type="dxa"/>
          <w:left w:w="0" w:type="dxa"/>
          <w:bottom w:w="0" w:type="dxa"/>
          <w:right w:w="0" w:type="dxa"/>
        </w:tblCellMar>
      </w:tblPr>
      <w:tblGrid>
        <w:gridCol w:w="38"/>
        <w:gridCol w:w="830"/>
        <w:gridCol w:w="1745"/>
      </w:tblGrid>
      <w:tr>
        <w:trPr/>
        <w:tc>
          <w:tcPr>
            <w:tcW w:w="38" w:type="dxa"/>
            <w:tcBorders/>
            <w:vAlign w:val="center"/>
          </w:tcPr>
          <w:p>
            <w:pPr>
              <w:pStyle w:val="TableContents"/>
              <w:bidi w:val="0"/>
              <w:spacing w:before="0" w:after="283"/>
              <w:jc w:val="left"/>
              <w:rPr/>
            </w:pPr>
            <w:r>
              <w:rPr/>
            </w:r>
          </w:p>
        </w:tc>
        <w:tc>
          <w:tcPr>
            <w:tcW w:w="830" w:type="dxa"/>
            <w:tcBorders/>
            <w:vAlign w:val="center"/>
          </w:tcPr>
          <w:p>
            <w:pPr>
              <w:pStyle w:val="TableContents"/>
              <w:bidi w:val="0"/>
              <w:spacing w:before="0" w:after="283"/>
              <w:jc w:val="left"/>
              <w:rPr>
                <w:rFonts w:ascii="Times New Roman;Times;serif" w:hAnsi="Times New Roman;Times;serif"/>
                <w:sz w:val="20"/>
                <w:u w:val="single"/>
              </w:rPr>
            </w:pPr>
            <w:r>
              <w:rPr>
                <w:rFonts w:ascii="Times New Roman;Times;serif" w:hAnsi="Times New Roman;Times;serif"/>
                <w:sz w:val="20"/>
                <w:u w:val="single"/>
              </w:rPr>
              <w:t>Section 5.</w:t>
            </w:r>
          </w:p>
        </w:tc>
        <w:tc>
          <w:tcPr>
            <w:tcW w:w="1745" w:type="dxa"/>
            <w:tcBorders/>
            <w:vAlign w:val="center"/>
          </w:tcPr>
          <w:p>
            <w:pPr>
              <w:pStyle w:val="TableContents"/>
              <w:bidi w:val="0"/>
              <w:spacing w:before="0" w:after="0"/>
              <w:jc w:val="both"/>
              <w:rPr>
                <w:rFonts w:ascii="Times New Roman;Times;serif" w:hAnsi="Times New Roman;Times;serif"/>
                <w:sz w:val="20"/>
                <w:u w:val="single"/>
              </w:rPr>
            </w:pPr>
            <w:r>
              <w:rPr>
                <w:rFonts w:ascii="Times New Roman;Times;serif" w:hAnsi="Times New Roman;Times;serif"/>
                <w:sz w:val="20"/>
                <w:u w:val="single"/>
              </w:rPr>
              <w:t>Certain Adjustments.</w:t>
            </w:r>
          </w:p>
        </w:tc>
      </w:tr>
    </w:tbl>
    <w:p>
      <w:pPr>
        <w:pStyle w:val="TextBody"/>
        <w:bidi w:val="0"/>
        <w:spacing w:lineRule="auto" w:line="300" w:before="0" w:after="0"/>
        <w:ind w:left="720" w:right="0" w:firstLine="720"/>
        <w:jc w:val="both"/>
        <w:rPr>
          <w:rFonts w:ascii="Times New Roman;Times;serif" w:hAnsi="Times New Roman;Times;serif"/>
          <w:sz w:val="20"/>
        </w:rPr>
      </w:pPr>
      <w:r>
        <w:rPr>
          <w:rFonts w:ascii="Times New Roman;Times;serif" w:hAnsi="Times New Roman;Times;serif"/>
          <w:sz w:val="20"/>
        </w:rPr>
      </w:r>
    </w:p>
    <w:p>
      <w:pPr>
        <w:pStyle w:val="TextBody"/>
        <w:bidi w:val="0"/>
        <w:spacing w:lineRule="auto" w:line="300"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(a)          </w:t>
      </w:r>
      <w:r>
        <w:rPr>
          <w:rFonts w:ascii="Times New Roman;Times;serif" w:hAnsi="Times New Roman;Times;serif"/>
          <w:color w:val="000000"/>
          <w:sz w:val="20"/>
          <w:u w:val="single"/>
        </w:rPr>
        <w:t>Share Dividends and Share Splits</w:t>
      </w:r>
      <w:r>
        <w:rPr>
          <w:rFonts w:ascii="Times New Roman;Times;serif" w:hAnsi="Times New Roman;Times;serif"/>
          <w:color w:val="000000"/>
          <w:sz w:val="20"/>
        </w:rPr>
        <w:t>.  If the Company, at any time while this Note is outstanding: (i) pays a share dividend or otherwise makes a distribution or distributions payable in Ordinary Shares on Ordinary Shares or any Ordinary Share Equivalents (which, for the avoidance of doubt, shall not include any Ordinary Shares issued by the Company upon conversion of the Notes), (ii) subdivides outstanding Ordinary Shares into a larger number of shares, (iii) combines (including by way of a reverse share split) outstanding Ordinary Shares into a smaller number of shares or (iv) issues, in the event of a reclassification of Ordinary Shares, any shares of the share capital of the Company, then the Conversion Price shall be multiplied by a fraction of which the numerator shall be the number of Ordinary Shares (excluding any treasury shares of the Company) outstanding immediately before such event, and of which the denominator shall be the number of Ordinary Shares outstanding immediately after such event.  Any adjustment made pursuant to this Section shall become effective immediately after the record date for the determination of shareholders entitled to receive such dividend or distribution and shall become effective immediately after the effective date in the case of a subdivision, combination or re classification.</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(b)          </w:t>
      </w:r>
      <w:r>
        <w:rPr>
          <w:rFonts w:ascii="Times New Roman;Times;serif" w:hAnsi="Times New Roman;Times;serif"/>
          <w:color w:val="000000"/>
          <w:sz w:val="20"/>
          <w:u w:val="single"/>
        </w:rPr>
        <w:t>Reserved</w:t>
      </w:r>
      <w:r>
        <w:rPr>
          <w:rFonts w:ascii="Times New Roman;Times;serif" w:hAnsi="Times New Roman;Times;serif"/>
          <w:color w:val="000000"/>
          <w:sz w:val="20"/>
        </w:rPr>
        <w:t>.</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(c)          </w:t>
      </w:r>
      <w:r>
        <w:rPr>
          <w:rFonts w:ascii="Times New Roman;Times;serif" w:hAnsi="Times New Roman;Times;serif"/>
          <w:color w:val="000000"/>
          <w:sz w:val="20"/>
          <w:u w:val="single"/>
        </w:rPr>
        <w:t>Subsequent Rights Offerings</w:t>
      </w:r>
      <w:r>
        <w:rPr>
          <w:rFonts w:ascii="Times New Roman;Times;serif" w:hAnsi="Times New Roman;Times;serif"/>
          <w:color w:val="000000"/>
          <w:sz w:val="20"/>
        </w:rPr>
        <w:t>.  In addition to any adjustments pursuant to Section 5(a) above, if at any time the Company grants, issues or sells any Ordinary Share Equivalents or rights to purchase shares, warrants, securities or other property pro rata to the record holders of any class of Ordinary Shares, as a class (the “</w:t>
      </w:r>
      <w:r>
        <w:rPr>
          <w:rFonts w:ascii="Times New Roman;Times;serif" w:hAnsi="Times New Roman;Times;serif"/>
          <w:color w:val="000000"/>
          <w:sz w:val="20"/>
          <w:u w:val="single"/>
        </w:rPr>
        <w:t>Purchase Rights</w:t>
      </w:r>
      <w:r>
        <w:rPr>
          <w:rFonts w:ascii="Times New Roman;Times;serif" w:hAnsi="Times New Roman;Times;serif"/>
          <w:color w:val="000000"/>
          <w:sz w:val="20"/>
        </w:rPr>
        <w:t>”), then the Holder will be entitled to acquire, upon the terms applicable to such Purchase Rights, the aggregate Purchase Rights which the Holder could have acquired if the Holder had held the number of Ordinary Shares acquirable upon complete conversion of this Note (without regard to any limitations on conversion hereof, including without limitation, the Beneficial Ownership Limitation and assuming for such purpose that the Note was converted at the Conversion Price as of the applicable record date) immediately before the date on which a record is taken for the grant, issuance or sale of such Purchase Rights, or, if no such record is taken, the date as of which the record holders of Ordinary Shares are to be determined for the grant, issue or sale of such Purchase Rights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however</w:t>
      </w:r>
      <w:r>
        <w:rPr>
          <w:rFonts w:ascii="Times New Roman;Times;serif" w:hAnsi="Times New Roman;Times;serif"/>
          <w:color w:val="000000"/>
          <w:sz w:val="20"/>
        </w:rPr>
        <w:t>, that, to the extent that the Holder’s right to participate in any such Purchase Right would result in the Holder exceeding the Beneficial Ownership Limitation, then the Holder shall not be entitled to participate in such Purchase Right to such extent (or beneficial ownership of such Ordinary Shares as a result of such Purchase Right to such extent) and such Purchase Right to such extent shall be held in abeyance for the Holder until such time, if ever, as its right thereto would not result in the Holder exceeding the Beneficial Ownership Limitation).</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11</w:t>
      </w:r>
    </w:p>
    <w:p>
      <w:pPr>
        <w:pStyle w:val="HorizontalLine"/>
        <w:pBdr>
          <w:bottom w:val="single" w:sz="12" w:space="0" w:color="808080"/>
        </w:pBdr>
        <w:bidi w:val="0"/>
        <w:spacing w:before="200" w:after="200"/>
        <w:jc w:val="left"/>
        <w:rPr/>
      </w:pPr>
      <w:r>
        <w:rPr/>
      </w:r>
    </w:p>
    <w:p>
      <w:pPr>
        <w:pStyle w:val="TextBody"/>
        <w:bidi w:val="0"/>
        <w:spacing w:lineRule="auto" w:line="300"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(d)          </w:t>
      </w:r>
      <w:r>
        <w:rPr>
          <w:rFonts w:ascii="Times New Roman;Times;serif" w:hAnsi="Times New Roman;Times;serif"/>
          <w:color w:val="000000"/>
          <w:sz w:val="20"/>
          <w:u w:val="single"/>
        </w:rPr>
        <w:t>Pro Rata Distributions</w:t>
      </w:r>
      <w:r>
        <w:rPr>
          <w:rFonts w:ascii="Times New Roman;Times;serif" w:hAnsi="Times New Roman;Times;serif"/>
          <w:color w:val="000000"/>
          <w:sz w:val="20"/>
        </w:rPr>
        <w:t>. During such time as this Note is outstanding, if the Company shall declare or make any dividend or other distribution of its assets (or rights to acquire its assets) to holders of Ordinary Shares, by way of return of capital or otherwise (including, without limitation, any distribution of cash, stock or other securities, property or options by way of a dividend, spin off, reclassification, corporate rearrangement, scheme of arrangement or other similar transaction) (a “</w:t>
      </w:r>
      <w:r>
        <w:rPr>
          <w:rFonts w:ascii="Times New Roman;Times;serif" w:hAnsi="Times New Roman;Times;serif"/>
          <w:color w:val="000000"/>
          <w:sz w:val="20"/>
          <w:u w:val="single"/>
        </w:rPr>
        <w:t>Distribution</w:t>
      </w:r>
      <w:r>
        <w:rPr>
          <w:rFonts w:ascii="Times New Roman;Times;serif" w:hAnsi="Times New Roman;Times;serif"/>
          <w:color w:val="000000"/>
          <w:sz w:val="20"/>
        </w:rPr>
        <w:t>”), at any time after the issuance of this Note, then, in each such case, the Holder shall be entitled to participate in such Distribution to the same extent that the Holder would have participated therein if the Holder had held the number of Ordinary Shares acquirable upon complete conversion of this Note (without regard to any limitations on conversion hereof, including without limitation, the Beneficial Ownership Limitation) immediately before the date of which a record is taken for such Distribution, or, if no such record is taken, the date as of which the record holders of Ordinary Shares are to be determined for the participation in such Distribution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however</w:t>
      </w:r>
      <w:r>
        <w:rPr>
          <w:rFonts w:ascii="Times New Roman;Times;serif" w:hAnsi="Times New Roman;Times;serif"/>
          <w:color w:val="000000"/>
          <w:sz w:val="20"/>
        </w:rPr>
        <w:t>, that, to the extent that the Holder’s right to participate in any such Distribution would result in the Holder exceeding the Beneficial Ownership Limitation, then the Holder shall not be entitled to participate in such Distribution to such extent (or in the beneficial ownership of any Ordinary Shares as a result of such Distribution to such extent) and the portion of such Distribution shall be held in abeyance for the benefit of the Holder until such time, if ever, as its right thereto would not result in the Holder exceeding the Beneficial Ownership Limitation).</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(e)          </w:t>
      </w:r>
      <w:r>
        <w:rPr>
          <w:rFonts w:ascii="Times New Roman;Times;serif" w:hAnsi="Times New Roman;Times;serif"/>
          <w:color w:val="000000"/>
          <w:sz w:val="20"/>
          <w:u w:val="single"/>
        </w:rPr>
        <w:t>Adjustment to Conversion Price</w:t>
      </w:r>
      <w:r>
        <w:rPr>
          <w:rFonts w:ascii="Times New Roman;Times;serif" w:hAnsi="Times New Roman;Times;serif"/>
          <w:color w:val="000000"/>
          <w:sz w:val="20"/>
        </w:rPr>
        <w:t xml:space="preserve">.  Whenever the Conversion Price is adjusted pursuant to any provision of this </w:t>
      </w:r>
      <w:r>
        <w:rPr>
          <w:rFonts w:ascii="Times New Roman;Times;serif" w:hAnsi="Times New Roman;Times;serif"/>
          <w:color w:val="000000"/>
          <w:sz w:val="20"/>
          <w:u w:val="single"/>
        </w:rPr>
        <w:t>Section 5</w:t>
      </w:r>
      <w:r>
        <w:rPr>
          <w:rFonts w:ascii="Times New Roman;Times;serif" w:hAnsi="Times New Roman;Times;serif"/>
          <w:color w:val="000000"/>
          <w:sz w:val="20"/>
        </w:rPr>
        <w:t>, the Company shall promptly deliver to each Holder a notice setting forth the Conversion Price after such adjustment and setting forth a brief statement of the facts requiring such adjustment.</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(f)          </w:t>
      </w:r>
      <w:r>
        <w:rPr>
          <w:rFonts w:ascii="Times New Roman;Times;serif" w:hAnsi="Times New Roman;Times;serif"/>
          <w:color w:val="000000"/>
          <w:sz w:val="20"/>
          <w:u w:val="single"/>
        </w:rPr>
        <w:t>Notice to Allow Conversion by Holder</w:t>
      </w:r>
      <w:r>
        <w:rPr>
          <w:rFonts w:ascii="Times New Roman;Times;serif" w:hAnsi="Times New Roman;Times;serif"/>
          <w:color w:val="000000"/>
          <w:sz w:val="20"/>
        </w:rPr>
        <w:t>.  If (A) the Company shall declare a dividend (or any other distribution in whatever form) on the Ordinary Shares, (B) the Company shall declare a special nonrecurring cash dividend on or a redemption of the Ordinary Shares, (C) the Company shall authorize the granting to all holders of the Ordinary Shares of rights or warrants to subscribe for or purchase any shares of the share capital of any class or of any rights, (D) the approval of any shareholders of the Company shall be required in connection with any reclassification of the Ordinary Shares, any consolidation or merger to which the Company (and all of its Subsidiaries, taken as a whole)  is a party, any sale or transfer of all or substantially all of the assets of the Company, or any compulsory share exchange whereby the Ordinary Shares are converted into other securities, cash or property or (E) the Company shall authorize the voluntary or involuntary dissolution, liquidation or winding up of the affairs of the Company, then, in each case, the Company shall cause to be filed at each office or agency maintained for the purpose of conversion of this Note, and shall cause to be delivered to the Holder at its last address as it shall appear upon the Note Register, at least twenty (20)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Ordinary Shares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Ordinary Shares of record shall be entitled to exchange their Ordinary Shares for securities, cash or other property deliverable upon such reclassification, consolidation, merger, sale, transfer or share exchange, provided that the failure to deliver such notice or any defect therein or in the delivery thereof shall not affect the validity of the corporate action required to be specified in such notice.  To the extent that any notice provided hereunder constitutes, or contains, material, non-public information regarding the Company or any of the Subsidiaries, the Company shall simultaneously file such notice with the Commission pursuant to a Current Report on Form 8-K.  For the avoidance of doubt, the Holder shall remain entitled to convert this Note during the 20-day period commencing on the date of such notice through the effective date of the event triggering such notice except as may otherwise be expressly set forth herein.</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12</w:t>
      </w:r>
    </w:p>
    <w:p>
      <w:pPr>
        <w:pStyle w:val="HorizontalLine"/>
        <w:pBdr>
          <w:bottom w:val="single" w:sz="12" w:space="0" w:color="808080"/>
        </w:pBdr>
        <w:bidi w:val="0"/>
        <w:spacing w:before="200" w:after="200"/>
        <w:jc w:val="left"/>
        <w:rPr/>
      </w:pPr>
      <w:r>
        <w:rPr/>
      </w:r>
    </w:p>
    <w:p>
      <w:pPr>
        <w:pStyle w:val="TextBody"/>
        <w:bidi w:val="0"/>
        <w:spacing w:lineRule="auto" w:line="300"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(g)          </w:t>
      </w:r>
      <w:r>
        <w:rPr>
          <w:rFonts w:ascii="Times New Roman;Times;serif" w:hAnsi="Times New Roman;Times;serif"/>
          <w:color w:val="000000"/>
          <w:sz w:val="20"/>
          <w:u w:val="single"/>
        </w:rPr>
        <w:t>Fundamental Transaction</w:t>
      </w:r>
      <w:r>
        <w:rPr>
          <w:rFonts w:ascii="Times New Roman;Times;serif" w:hAnsi="Times New Roman;Times;serif"/>
          <w:color w:val="000000"/>
          <w:sz w:val="20"/>
        </w:rPr>
        <w:t>. If, at any time while this Note is outstanding, (i) the Company, directly or indirectly, in one or more related transactions effects any merger or consolidation of the Company with or into another Person, (ii) the Company (or any subsidiary), directly or indirectly effects any sale, lease, license, assignment, transfer, conveyance or other disposition of all or substantially all of its assets in one or a series of related transactions, except to the extent subject to an adjustment pursuant to Section 5, (iii) any, direct or indirect, purchase offer, tender offer or exchange offer (whether by the Company or another Person) is completed pursuant to which holders of Ordinary Shares are permitted to sell, tender or exchange their shares for other securities, cash or property and has been accepted by the holders of more than 50% of the outstanding Ordinary Shares or more than 50% of the voting power of the common equity of the Company, (iv) the Company, directly or indirectly, in one or more related transactions effects any reclassification, reorganization or recapitalization of the Ordinary Shares or any compulsory share exchange pursuant to which the Ordinary Shares are effectively converted into or exchanged for other securities, cash or property, or (v) the Company, directly or indirectly, in one or more related transactions consummates a share purchase agreement or other business combination (including, without limitation, a reorganization, recapitalization, spin-off, merger or scheme of arrangement) with another Person or group of Persons whereby such other Person or group acquires more than 50% of the outstanding Ordinary Shares or more than 50% of the voting power of the Ordinary Shares of the Company (each a “</w:t>
      </w:r>
      <w:r>
        <w:rPr>
          <w:rFonts w:ascii="Times New Roman;Times;serif" w:hAnsi="Times New Roman;Times;serif"/>
          <w:color w:val="000000"/>
          <w:sz w:val="20"/>
          <w:u w:val="single"/>
        </w:rPr>
        <w:t>Fundamental Transaction</w:t>
      </w:r>
      <w:r>
        <w:rPr>
          <w:rFonts w:ascii="Times New Roman;Times;serif" w:hAnsi="Times New Roman;Times;serif"/>
          <w:color w:val="000000"/>
          <w:sz w:val="20"/>
        </w:rPr>
        <w:t>”), then, upon any subsequent conversion of this Note, the Holder shall have the right to receive, for each Conversion Share that would have been issuable upon such conversion immediately prior to the occurrence of such Fundamental Transaction, at the option of the Holder (without regard to any limitation in Section 4(d) on the conversion of this Note), the number of Ordinary Shares of the successor or acquiring corporation or of the Company, if it is the surviving corporation, and any additional consideration (the “</w:t>
      </w:r>
      <w:r>
        <w:rPr>
          <w:rFonts w:ascii="Times New Roman;Times;serif" w:hAnsi="Times New Roman;Times;serif"/>
          <w:color w:val="000000"/>
          <w:sz w:val="20"/>
          <w:u w:val="single"/>
        </w:rPr>
        <w:t>Alternate Consideration</w:t>
      </w:r>
      <w:r>
        <w:rPr>
          <w:rFonts w:ascii="Times New Roman;Times;serif" w:hAnsi="Times New Roman;Times;serif"/>
          <w:color w:val="000000"/>
          <w:sz w:val="20"/>
        </w:rPr>
        <w:t>”) receivable as a result of such Fundamental Transaction by a holder of the number of Ordinary Shares for which this Note is convertible immediately prior to such Fundamental Transaction (without regard to any limitation in Section 4(d) on the conversion of this Note). For purposes of any such conversion, the determination of the Conversion Price shall be appropriately adjusted to apply to such Alternate Consideration based on the amount of Alternate Consideration issuable in respect of one Ordinary Share in such Fundamental Transaction, and the Company shall apportion the Conversion Price among the Alternate Consideration in a reasonable manner reflecting the relative value of any different components of the Alternate Consideration. If holders of Ordinary Shares are given any choice as to the securities, cash or property to be received in a Fundamental Transaction, then the Holder shall be given the same choice as to the Alternate Consideration it receives upon any conversion of this Note following such Fundamental Transaction. The Company shall cause any successor entity in a Fundamental Transaction in which the Company is not the survivor (the “</w:t>
      </w:r>
      <w:r>
        <w:rPr>
          <w:rFonts w:ascii="Times New Roman;Times;serif" w:hAnsi="Times New Roman;Times;serif"/>
          <w:color w:val="000000"/>
          <w:sz w:val="20"/>
          <w:u w:val="single"/>
        </w:rPr>
        <w:t>Successor Entity</w:t>
      </w:r>
      <w:r>
        <w:rPr>
          <w:rFonts w:ascii="Times New Roman;Times;serif" w:hAnsi="Times New Roman;Times;serif"/>
          <w:color w:val="000000"/>
          <w:sz w:val="20"/>
        </w:rPr>
        <w:t>”) to assume in writing all of the obligations of the Company under this Note in accordance with the provisions of this Section 5(h) pursuant to written agreements in form and substance reasonably satisfactory to the Holder and approved by the Holder (without unreasonable delay) prior to such Fundamental Transaction and shall, at the option of the Holder, deliver to the Holder in exchange for this Note a security of the Successor Entity evidenced by a written instrument substantially similar in form and substance to this Note which is convertible for a corresponding number of shares of capital stock of such Successor Entity (or its parent entity) equivalent to the Ordinary Shares acquirable and receivable upon conversion of this Note (without regard to any limitations on the conversion of this Note) prior to such Fundamental Transaction, and with an conversion price which applies the conversion price hereunder to such shares of capital stock (but taking into account the relative value of the Ordinary Shares pursuant to such Fundamental Transaction and the value of such shares of capital stock, such number of shares of capital stock and such conversion price being for the purpose of protecting the economic value of this Note immediately prior to the consummation of such Fundamental Transaction), and which is reasonably satisfactory in form and substance to the Holder. Upon the occurrence of any such Fundamental Transaction, the Successor Entity shall be added to the term “Company” under this Note (so that from and after the occurrence or consummation of such Fundamental Transaction, each and every provision of this Note and the other Transaction Documents referring to the “Company” shall refer instead to each of the Company and the Successor Entity or Successor Entities, jointly and severally), and the Successor Entity or Successor Entities, jointly and severally with the Company, may exercise every right and power of the Company prior thereto and the Successor Entity or Successor Entities shall assume all of the obligations of the Company prior thereto under this Note with the same effect as if the Company and such Successor Entity or Successor Entities, jointly and severally, had been named as the Company herein. Notwithstanding anything to the contrary herein, the Company and Holder acknowledge and agree that the transactions contemplated by that certain Purchase Agreement (the “Oratech Purchase Agreement”), dated as of January 12, 2026, by and among the Company, Oratech Pharma, Inc. and Oramed Pharmaceuticals, Inc. (the “Current Transaction”) and related transaction documentation, including the execution of the Oratech Purchase Agreement and documentation related thereto, shall not constitute, and shall not be deemed to constitute, a Fundamental Transaction for any purpose under this Note, and no rights, remedies, or obligations that would otherwise arise upon the occurrence of a Fundamental Transaction shall be triggered by or in connection with the consummation of the Current Transaction.  Additionally, notwithstanding anything to the contrary herein, no transaction, action, election, or arrangement initiated, proposed, directed, or otherwise caused by, or at the direction of, Oramed shall constitute, or be deemed to constitute, a Fundamental Transaction, and no Fundamental Transaction shall be deemed to have occurred solely as a result of any voluntary act or omission of Oramed. For the avoidance of doubt, a Fundamental Transaction shall only be deemed to occur upon the consummation of a transaction undertaken by the Company or a third party independent of Oramed, and not as a result of any designation, characterization, or contractual right exercised by Oramed.</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13</w:t>
      </w:r>
    </w:p>
    <w:p>
      <w:pPr>
        <w:pStyle w:val="HorizontalLine"/>
        <w:pBdr>
          <w:bottom w:val="single" w:sz="12" w:space="0" w:color="808080"/>
        </w:pBdr>
        <w:bidi w:val="0"/>
        <w:spacing w:before="200" w:after="200"/>
        <w:jc w:val="left"/>
        <w:rPr/>
      </w:pPr>
      <w:r>
        <w:rPr/>
      </w:r>
    </w:p>
    <w:p>
      <w:pPr>
        <w:pStyle w:val="TextBody"/>
        <w:bidi w:val="0"/>
        <w:spacing w:lineRule="auto" w:line="300"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(h)          </w:t>
      </w:r>
      <w:r>
        <w:rPr>
          <w:rFonts w:ascii="Times New Roman;Times;serif" w:hAnsi="Times New Roman;Times;serif"/>
          <w:color w:val="000000"/>
          <w:sz w:val="20"/>
          <w:u w:val="single"/>
        </w:rPr>
        <w:t>Calculations</w:t>
      </w:r>
      <w:r>
        <w:rPr>
          <w:rFonts w:ascii="Times New Roman;Times;serif" w:hAnsi="Times New Roman;Times;serif"/>
          <w:color w:val="000000"/>
          <w:sz w:val="20"/>
        </w:rPr>
        <w:t>.  All calculations under this Section 5 shall be made to the nearest cent or the nearest 1/100th of a share, as the case may be.  For purposes of this Section 5, the number of Ordinary Shares deemed to be issued and outstanding as of a given date shall be the sum of the number of Ordinary Shares (excluding any treasury shares of the Company) issued and outstanding.</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hanging="0"/>
        <w:jc w:val="both"/>
        <w:rPr>
          <w:rFonts w:ascii="Times New Roman;Times;serif" w:hAnsi="Times New Roman;Times;serif"/>
          <w:color w:val="000000"/>
          <w:sz w:val="20"/>
        </w:rPr>
      </w:pPr>
      <w:r>
        <w:rPr>
          <w:rFonts w:ascii="Times New Roman;Times;serif" w:hAnsi="Times New Roman;Times;serif"/>
          <w:color w:val="000000"/>
          <w:sz w:val="20"/>
          <w:u w:val="single"/>
        </w:rPr>
        <w:t>Section 6.</w:t>
      </w:r>
      <w:r>
        <w:rPr>
          <w:rFonts w:ascii="Times New Roman;Times;serif" w:hAnsi="Times New Roman;Times;serif"/>
          <w:color w:val="000000"/>
          <w:sz w:val="20"/>
        </w:rPr>
        <w:t>          </w:t>
      </w:r>
      <w:r>
        <w:rPr>
          <w:rFonts w:ascii="Times New Roman;Times;serif" w:hAnsi="Times New Roman;Times;serif"/>
          <w:color w:val="000000"/>
          <w:sz w:val="20"/>
          <w:u w:val="single"/>
        </w:rPr>
        <w:t>Reserved</w:t>
      </w:r>
      <w:r>
        <w:rPr>
          <w:rFonts w:ascii="Times New Roman;Times;serif" w:hAnsi="Times New Roman;Times;serif"/>
          <w:color w:val="000000"/>
          <w:sz w:val="20"/>
        </w:rPr>
        <w:t>.</w:t>
      </w:r>
    </w:p>
    <w:p>
      <w:pPr>
        <w:pStyle w:val="TextBody"/>
        <w:bidi w:val="0"/>
        <w:spacing w:lineRule="auto" w:line="300" w:before="0" w:after="0"/>
        <w:jc w:val="left"/>
        <w:rPr/>
      </w:pPr>
      <w:r>
        <w:rPr/>
      </w:r>
    </w:p>
    <w:p>
      <w:pPr>
        <w:pStyle w:val="TextBody"/>
        <w:bidi w:val="0"/>
        <w:spacing w:lineRule="auto" w:line="300" w:before="0" w:after="0"/>
        <w:ind w:left="720" w:right="0" w:hanging="0"/>
        <w:jc w:val="both"/>
        <w:rPr>
          <w:rFonts w:ascii="Times New Roman;Times;serif" w:hAnsi="Times New Roman;Times;serif"/>
          <w:color w:val="000000"/>
          <w:sz w:val="20"/>
        </w:rPr>
      </w:pPr>
      <w:r>
        <w:rPr>
          <w:rFonts w:ascii="Times New Roman;Times;serif" w:hAnsi="Times New Roman;Times;serif"/>
          <w:color w:val="000000"/>
          <w:sz w:val="20"/>
          <w:u w:val="single"/>
        </w:rPr>
        <w:t>Section 7.</w:t>
      </w:r>
      <w:r>
        <w:rPr>
          <w:rFonts w:ascii="Times New Roman;Times;serif" w:hAnsi="Times New Roman;Times;serif"/>
          <w:color w:val="000000"/>
          <w:sz w:val="20"/>
        </w:rPr>
        <w:t>          </w:t>
      </w:r>
      <w:r>
        <w:rPr>
          <w:rFonts w:ascii="Times New Roman;Times;serif" w:hAnsi="Times New Roman;Times;serif"/>
          <w:color w:val="000000"/>
          <w:sz w:val="20"/>
          <w:u w:val="single"/>
        </w:rPr>
        <w:t>Covenants</w:t>
      </w:r>
      <w:r>
        <w:rPr>
          <w:rFonts w:ascii="Times New Roman;Times;serif" w:hAnsi="Times New Roman;Times;serif"/>
          <w:color w:val="000000"/>
          <w:sz w:val="20"/>
        </w:rPr>
        <w:t>.</w:t>
      </w:r>
    </w:p>
    <w:p>
      <w:pPr>
        <w:pStyle w:val="TextBody"/>
        <w:bidi w:val="0"/>
        <w:spacing w:lineRule="auto" w:line="300" w:before="0" w:after="0"/>
        <w:jc w:val="left"/>
        <w:rPr/>
      </w:pPr>
      <w:r>
        <w:rPr/>
      </w:r>
    </w:p>
    <w:p>
      <w:pPr>
        <w:pStyle w:val="TextBody"/>
        <w:bidi w:val="0"/>
        <w:spacing w:lineRule="auto" w:line="300" w:before="0" w:after="0"/>
        <w:ind w:left="630" w:right="0" w:firstLine="810"/>
        <w:jc w:val="both"/>
        <w:rPr>
          <w:rFonts w:ascii="Times New Roman;Times;serif" w:hAnsi="Times New Roman;Times;serif"/>
          <w:color w:val="000000"/>
          <w:sz w:val="20"/>
        </w:rPr>
      </w:pPr>
      <w:r>
        <w:rPr>
          <w:rFonts w:ascii="Times New Roman;Times;serif" w:hAnsi="Times New Roman;Times;serif"/>
          <w:color w:val="000000"/>
          <w:sz w:val="20"/>
        </w:rPr>
        <w:t>(a)          </w:t>
      </w:r>
      <w:r>
        <w:rPr>
          <w:rFonts w:ascii="Times New Roman;Times;serif" w:hAnsi="Times New Roman;Times;serif"/>
          <w:color w:val="000000"/>
          <w:sz w:val="20"/>
          <w:u w:val="single"/>
        </w:rPr>
        <w:t>Negative Covenants</w:t>
      </w:r>
      <w:r>
        <w:rPr>
          <w:rFonts w:ascii="Times New Roman;Times;serif" w:hAnsi="Times New Roman;Times;serif"/>
          <w:color w:val="000000"/>
          <w:sz w:val="20"/>
        </w:rPr>
        <w:t>. As long as any portion of this Note remains outstanding, except with the consent of the Required Holder, the Company shall not, and shall not permit any of the Subsidiaries to, directly or indirectly:</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1440" w:right="0" w:firstLine="720"/>
        <w:jc w:val="both"/>
        <w:rPr>
          <w:rFonts w:ascii="Times New Roman;Times;serif" w:hAnsi="Times New Roman;Times;serif"/>
          <w:color w:val="000000"/>
          <w:sz w:val="20"/>
        </w:rPr>
      </w:pPr>
      <w:r>
        <w:rPr>
          <w:rFonts w:ascii="Times New Roman;Times;serif" w:hAnsi="Times New Roman;Times;serif"/>
          <w:color w:val="000000"/>
          <w:sz w:val="20"/>
        </w:rPr>
        <w:t>(i)          other than Permitted Indebtedness, enter into, create, incur, assume, guarantee or suffer to exist any Indebtedness of any kind, including, but not limited to, a guarantee, on or with respect to any of its property or assets now owned or hereafter acquired or any interest therein or any income or profits therefrom;</w:t>
      </w:r>
    </w:p>
    <w:p>
      <w:pPr>
        <w:pStyle w:val="TextBody"/>
        <w:bidi w:val="0"/>
        <w:spacing w:lineRule="auto" w:line="300" w:before="0" w:after="0"/>
        <w:jc w:val="left"/>
        <w:rPr/>
      </w:pPr>
      <w:r>
        <w:rPr/>
      </w:r>
    </w:p>
    <w:p>
      <w:pPr>
        <w:pStyle w:val="TextBody"/>
        <w:bidi w:val="0"/>
        <w:spacing w:lineRule="auto" w:line="300" w:before="0" w:after="0"/>
        <w:ind w:left="1440" w:right="0" w:firstLine="720"/>
        <w:jc w:val="both"/>
        <w:rPr>
          <w:rFonts w:ascii="Times New Roman;Times;serif" w:hAnsi="Times New Roman;Times;serif"/>
          <w:color w:val="000000"/>
          <w:sz w:val="20"/>
        </w:rPr>
      </w:pPr>
      <w:r>
        <w:rPr>
          <w:rFonts w:ascii="Times New Roman;Times;serif" w:hAnsi="Times New Roman;Times;serif"/>
          <w:color w:val="000000"/>
          <w:sz w:val="20"/>
        </w:rPr>
        <w:t>(ii)          other than Permitted Liens, enter into, create, incur, assume or suffer to exist any Liens of any kind, on or with respect to any of its property or assets now owned or hereafter acquired or any interest therein or any income or profits therefrom;</w:t>
      </w:r>
    </w:p>
    <w:p>
      <w:pPr>
        <w:pStyle w:val="TextBody"/>
        <w:bidi w:val="0"/>
        <w:spacing w:lineRule="auto" w:line="300" w:before="0" w:after="0"/>
        <w:jc w:val="left"/>
        <w:rPr/>
      </w:pPr>
      <w:r>
        <w:rPr/>
      </w:r>
    </w:p>
    <w:p>
      <w:pPr>
        <w:pStyle w:val="TextBody"/>
        <w:bidi w:val="0"/>
        <w:spacing w:lineRule="auto" w:line="300" w:before="0" w:after="0"/>
        <w:ind w:left="1440" w:right="0" w:firstLine="720"/>
        <w:jc w:val="both"/>
        <w:rPr>
          <w:rFonts w:ascii="Times New Roman;Times;serif" w:hAnsi="Times New Roman;Times;serif"/>
          <w:color w:val="000000"/>
          <w:sz w:val="20"/>
        </w:rPr>
      </w:pPr>
      <w:r>
        <w:rPr>
          <w:rFonts w:ascii="Times New Roman;Times;serif" w:hAnsi="Times New Roman;Times;serif"/>
          <w:color w:val="000000"/>
          <w:sz w:val="20"/>
        </w:rPr>
        <w:t>(iii)          except for the contemplated amendments to its governing documents disclosed in the Company’s definitive proxy statement filed with the SEC on December 1, 2025, amend its governing documents, including, without limitation, its memorandum and articles of association, in any manner that materially and adversely affects any rights of the Holder;</w:t>
      </w:r>
    </w:p>
    <w:p>
      <w:pPr>
        <w:pStyle w:val="TextBody"/>
        <w:bidi w:val="0"/>
        <w:spacing w:lineRule="auto" w:line="300" w:before="0" w:after="0"/>
        <w:jc w:val="left"/>
        <w:rPr/>
      </w:pPr>
      <w:r>
        <w:rPr/>
      </w:r>
    </w:p>
    <w:p>
      <w:pPr>
        <w:pStyle w:val="TextBody"/>
        <w:bidi w:val="0"/>
        <w:spacing w:lineRule="auto" w:line="300" w:before="0" w:after="0"/>
        <w:ind w:left="1440" w:right="0" w:firstLine="720"/>
        <w:jc w:val="both"/>
        <w:rPr>
          <w:rFonts w:ascii="Times New Roman;Times;serif" w:hAnsi="Times New Roman;Times;serif"/>
          <w:color w:val="000000"/>
          <w:sz w:val="20"/>
        </w:rPr>
      </w:pPr>
      <w:r>
        <w:rPr>
          <w:rFonts w:ascii="Times New Roman;Times;serif" w:hAnsi="Times New Roman;Times;serif"/>
          <w:color w:val="000000"/>
          <w:sz w:val="20"/>
        </w:rPr>
        <w:t xml:space="preserve">(iv)          repay, repurchase or offer to repay, repurchase or otherwise acquire more than a </w:t>
      </w:r>
      <w:r>
        <w:rPr>
          <w:rFonts w:ascii="Times New Roman;Times;serif" w:hAnsi="Times New Roman;Times;serif"/>
          <w:color w:val="000000"/>
          <w:sz w:val="20"/>
          <w:u w:val="single"/>
        </w:rPr>
        <w:t>de</w:t>
      </w:r>
      <w:r>
        <w:rPr>
          <w:rFonts w:ascii="Times New Roman;Times;serif" w:hAnsi="Times New Roman;Times;serif"/>
          <w:color w:val="000000"/>
          <w:sz w:val="20"/>
        </w:rPr>
        <w:t> </w:t>
      </w:r>
      <w:r>
        <w:rPr>
          <w:rFonts w:ascii="Times New Roman;Times;serif" w:hAnsi="Times New Roman;Times;serif"/>
          <w:color w:val="000000"/>
          <w:sz w:val="20"/>
          <w:u w:val="single"/>
        </w:rPr>
        <w:t>minimis</w:t>
      </w:r>
      <w:r>
        <w:rPr>
          <w:rFonts w:ascii="Times New Roman;Times;serif" w:hAnsi="Times New Roman;Times;serif"/>
          <w:color w:val="000000"/>
          <w:sz w:val="20"/>
        </w:rPr>
        <w:t xml:space="preserve"> number of Ordinary Shares or Ordinary Share Equivalents other than as to the Conversion Shares or the Warrant Shares as permitted or required under the Transaction Documents;</w:t>
      </w:r>
    </w:p>
    <w:p>
      <w:pPr>
        <w:pStyle w:val="TextBody"/>
        <w:bidi w:val="0"/>
        <w:spacing w:lineRule="auto" w:line="300" w:before="0" w:after="0"/>
        <w:jc w:val="left"/>
        <w:rPr/>
      </w:pPr>
      <w:r>
        <w:rPr/>
      </w:r>
    </w:p>
    <w:p>
      <w:pPr>
        <w:pStyle w:val="TextBody"/>
        <w:bidi w:val="0"/>
        <w:spacing w:lineRule="auto" w:line="300" w:before="0" w:after="0"/>
        <w:ind w:left="1440" w:right="0" w:firstLine="720"/>
        <w:jc w:val="both"/>
        <w:rPr>
          <w:rFonts w:ascii="Times New Roman;Times;serif" w:hAnsi="Times New Roman;Times;serif"/>
          <w:color w:val="000000"/>
          <w:sz w:val="20"/>
        </w:rPr>
      </w:pPr>
      <w:r>
        <w:rPr>
          <w:rFonts w:ascii="Times New Roman;Times;serif" w:hAnsi="Times New Roman;Times;serif"/>
          <w:color w:val="000000"/>
          <w:sz w:val="20"/>
        </w:rPr>
        <w:t>(v)          repay, repurchase or offer to repay, repurchase or otherwise acquire any Indebtedness, other than (i) the Notes, (ii) any Additional Notes, (iii) the June 2026 Notes and (iv) regularly scheduled principal and interest payments with respect to other Indebtedness outstanding on the Original Issue Date, as such terms are in effect as of the Original Issue Date, in each case of clauses (i) through (iv), provided that such payments shall not be permitted if, at such time, or after giving effect to such payment, any Event of Default exist or occur;</w:t>
      </w:r>
    </w:p>
    <w:p>
      <w:pPr>
        <w:pStyle w:val="TextBody"/>
        <w:bidi w:val="0"/>
        <w:spacing w:lineRule="auto" w:line="300" w:before="0" w:after="0"/>
        <w:jc w:val="left"/>
        <w:rPr/>
      </w:pPr>
      <w:r>
        <w:rPr/>
      </w:r>
    </w:p>
    <w:p>
      <w:pPr>
        <w:pStyle w:val="TextBody"/>
        <w:bidi w:val="0"/>
        <w:spacing w:lineRule="auto" w:line="300" w:before="0" w:after="0"/>
        <w:ind w:left="1440" w:right="0" w:firstLine="720"/>
        <w:jc w:val="both"/>
        <w:rPr>
          <w:rFonts w:ascii="Times New Roman;Times;serif" w:hAnsi="Times New Roman;Times;serif"/>
          <w:color w:val="000000"/>
          <w:sz w:val="20"/>
        </w:rPr>
      </w:pPr>
      <w:r>
        <w:rPr>
          <w:rFonts w:ascii="Times New Roman;Times;serif" w:hAnsi="Times New Roman;Times;serif"/>
          <w:color w:val="000000"/>
          <w:sz w:val="20"/>
        </w:rPr>
        <w:t>(vi)          pay cash dividends or distributions on any equity securities of the Company;</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14</w:t>
      </w:r>
    </w:p>
    <w:p>
      <w:pPr>
        <w:pStyle w:val="HorizontalLine"/>
        <w:pBdr>
          <w:bottom w:val="single" w:sz="12" w:space="0" w:color="808080"/>
        </w:pBdr>
        <w:bidi w:val="0"/>
        <w:spacing w:before="200" w:after="200"/>
        <w:jc w:val="left"/>
        <w:rPr/>
      </w:pPr>
      <w:r>
        <w:rPr/>
      </w:r>
    </w:p>
    <w:p>
      <w:pPr>
        <w:pStyle w:val="TextBody"/>
        <w:bidi w:val="0"/>
        <w:spacing w:lineRule="auto" w:line="300" w:before="0" w:after="0"/>
        <w:ind w:left="1440" w:right="0" w:firstLine="720"/>
        <w:jc w:val="both"/>
        <w:rPr>
          <w:rFonts w:ascii="Times New Roman;Times;serif" w:hAnsi="Times New Roman;Times;serif"/>
          <w:color w:val="000000"/>
          <w:sz w:val="20"/>
        </w:rPr>
      </w:pPr>
      <w:r>
        <w:rPr>
          <w:rFonts w:ascii="Times New Roman;Times;serif" w:hAnsi="Times New Roman;Times;serif"/>
          <w:color w:val="000000"/>
          <w:sz w:val="20"/>
        </w:rPr>
        <w:t>(vii)          enter into any transaction with any Affiliate of the Company which would be required to be disclosed in any public filing with the Commission, unless such transaction is made on an arm’s-length basis and expressly approved by a majority of the disinterested directors of the Company (even if less than a quorum otherwise required for board approval); or</w:t>
      </w:r>
    </w:p>
    <w:p>
      <w:pPr>
        <w:pStyle w:val="TextBody"/>
        <w:bidi w:val="0"/>
        <w:spacing w:lineRule="auto" w:line="300" w:before="0" w:after="0"/>
        <w:jc w:val="left"/>
        <w:rPr/>
      </w:pPr>
      <w:r>
        <w:rPr/>
      </w:r>
    </w:p>
    <w:p>
      <w:pPr>
        <w:pStyle w:val="TextBody"/>
        <w:bidi w:val="0"/>
        <w:spacing w:lineRule="auto" w:line="300" w:before="0" w:after="0"/>
        <w:ind w:left="1440" w:right="0" w:firstLine="720"/>
        <w:jc w:val="both"/>
        <w:rPr>
          <w:rFonts w:ascii="Times New Roman;Times;serif" w:hAnsi="Times New Roman;Times;serif"/>
          <w:color w:val="000000"/>
          <w:sz w:val="20"/>
        </w:rPr>
      </w:pPr>
      <w:r>
        <w:rPr>
          <w:rFonts w:ascii="Times New Roman;Times;serif" w:hAnsi="Times New Roman;Times;serif"/>
          <w:color w:val="000000"/>
          <w:sz w:val="20"/>
        </w:rPr>
        <w:t>(viii)          enter into any agreement with respect to any of the foregoing.</w:t>
      </w:r>
    </w:p>
    <w:p>
      <w:pPr>
        <w:pStyle w:val="TextBody"/>
        <w:bidi w:val="0"/>
        <w:spacing w:lineRule="auto" w:line="300" w:before="0" w:after="0"/>
        <w:jc w:val="left"/>
        <w:rPr/>
      </w:pPr>
      <w:r>
        <w:rPr/>
      </w:r>
    </w:p>
    <w:p>
      <w:pPr>
        <w:pStyle w:val="TextBody"/>
        <w:bidi w:val="0"/>
        <w:spacing w:lineRule="auto" w:line="300"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(b)          </w:t>
      </w:r>
      <w:r>
        <w:rPr>
          <w:rFonts w:ascii="Times New Roman;Times;serif" w:hAnsi="Times New Roman;Times;serif"/>
          <w:color w:val="000000"/>
          <w:sz w:val="20"/>
          <w:u w:val="single"/>
        </w:rPr>
        <w:t>Affirmative Covenants</w:t>
      </w:r>
      <w:r>
        <w:rPr>
          <w:rFonts w:ascii="Times New Roman;Times;serif" w:hAnsi="Times New Roman;Times;serif"/>
          <w:color w:val="000000"/>
          <w:sz w:val="20"/>
        </w:rPr>
        <w:t>. As long as any portion of this Note remains outstanding, except with the consent of the Required Holder, the Company shall, and shall cause each of its Subsidiaries to:</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1440" w:right="0" w:firstLine="720"/>
        <w:jc w:val="both"/>
        <w:rPr>
          <w:rFonts w:ascii="Times New Roman;Times;serif" w:hAnsi="Times New Roman;Times;serif"/>
          <w:color w:val="000000"/>
          <w:sz w:val="20"/>
        </w:rPr>
      </w:pPr>
      <w:r>
        <w:rPr>
          <w:rFonts w:ascii="Times New Roman;Times;serif" w:hAnsi="Times New Roman;Times;serif"/>
          <w:color w:val="000000"/>
          <w:sz w:val="20"/>
        </w:rPr>
        <w:t>(i)          preserve and maintain its legal existence, rights, franchises and privileges in the jurisdiction of its incorporation, and qualify and remain qualified as a foreign business entity in each jurisdiction in which qualification is necessary in view of its business and operations or the ownership of its properties and where failure maintain or qualify could reasonably be expected to have a Material Adverse Effect;</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1440" w:right="0" w:firstLine="720"/>
        <w:jc w:val="both"/>
        <w:rPr>
          <w:rFonts w:ascii="Times New Roman;Times;serif" w:hAnsi="Times New Roman;Times;serif"/>
          <w:color w:val="000000"/>
          <w:sz w:val="20"/>
        </w:rPr>
      </w:pPr>
      <w:r>
        <w:rPr>
          <w:rFonts w:ascii="Times New Roman;Times;serif" w:hAnsi="Times New Roman;Times;serif"/>
          <w:color w:val="000000"/>
          <w:sz w:val="20"/>
        </w:rPr>
        <w:t>(ii)          provide to Agent, promptly upon becoming aware thereof (and in any event within three (3) days after the occurrence thereof), a notice of each Event of Default known to an executive officer of the Company, together with a statement of such executive officer setting forth the details of such Event of Default and the actions which the Company has taken and proposes to take with respect thereto;</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1440" w:right="0" w:firstLine="720"/>
        <w:jc w:val="both"/>
        <w:rPr>
          <w:rFonts w:ascii="Times New Roman;Times;serif" w:hAnsi="Times New Roman;Times;serif"/>
          <w:color w:val="000000"/>
          <w:sz w:val="20"/>
        </w:rPr>
      </w:pPr>
      <w:r>
        <w:rPr>
          <w:rFonts w:ascii="Times New Roman;Times;serif" w:hAnsi="Times New Roman;Times;serif"/>
          <w:color w:val="000000"/>
          <w:sz w:val="20"/>
        </w:rPr>
        <w:t>(iii)          (a) pay and discharge as the same shall become due and payable: (i) all tax liabilities, assessments and governmental charges or levies upon it or its properties or assets, unless the same are being contested in good faith by appropriate proceedings diligently conducted (which proceedings have the effect of preventing the forfeiture or sale of the property or assets subject to any such Lien) and adequate reserves in accordance with GAAP are being maintained by the Company or such Subsidiary; (ii) all lawful claims which, if unpaid, would by law become a Lien upon its property, unless the same are being contested in good faith by appropriate proceedings diligently conducted (which proceedings have the effect of preventing the forfeiture or sale of the property or assets subject to any such Lien) and adequate reserves in accordance with GAAP are being maintained by the Company or such Subsidiary; and (iii) all Indebtedness, as and when due and payable, but subject to the terms of this Note; and (b) timely file all material tax returns required to be filed (subject to any valid extension);</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1440" w:right="0" w:firstLine="720"/>
        <w:jc w:val="both"/>
        <w:rPr>
          <w:rFonts w:ascii="Times New Roman;Times;serif" w:hAnsi="Times New Roman;Times;serif"/>
          <w:color w:val="000000"/>
          <w:sz w:val="20"/>
        </w:rPr>
      </w:pPr>
      <w:r>
        <w:rPr>
          <w:rFonts w:ascii="Times New Roman;Times;serif" w:hAnsi="Times New Roman;Times;serif"/>
          <w:color w:val="000000"/>
          <w:sz w:val="20"/>
        </w:rPr>
        <w:t>(iv)          (a) maintain, preserve and protect all of its material properties and equipment necessary in the operation of its business in good working order and condition, ordinary wear and tear excepted; and (b) make all necessary repairs thereto and renewals and replacements thereof except where the failure to do so could not reasonably be expected to have a Material Adverse Effect;</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1440" w:right="0" w:firstLine="720"/>
        <w:jc w:val="both"/>
        <w:rPr>
          <w:rFonts w:ascii="Times New Roman;Times;serif" w:hAnsi="Times New Roman;Times;serif"/>
          <w:color w:val="000000"/>
          <w:sz w:val="20"/>
        </w:rPr>
      </w:pPr>
      <w:r>
        <w:rPr>
          <w:rFonts w:ascii="Times New Roman;Times;serif" w:hAnsi="Times New Roman;Times;serif"/>
          <w:color w:val="000000"/>
          <w:sz w:val="20"/>
        </w:rPr>
        <w:t>(v)          comply in all material respects with the requirements of all applicable laws and all orders, writs, injunctions and decrees applicable to it or to its business or property;</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15</w:t>
      </w:r>
    </w:p>
    <w:p>
      <w:pPr>
        <w:pStyle w:val="HorizontalLine"/>
        <w:pBdr>
          <w:bottom w:val="single" w:sz="12" w:space="0" w:color="808080"/>
        </w:pBdr>
        <w:bidi w:val="0"/>
        <w:spacing w:before="200" w:after="200"/>
        <w:jc w:val="left"/>
        <w:rPr/>
      </w:pPr>
      <w:r>
        <w:rPr/>
      </w:r>
    </w:p>
    <w:p>
      <w:pPr>
        <w:pStyle w:val="TextBody"/>
        <w:bidi w:val="0"/>
        <w:spacing w:lineRule="auto" w:line="300" w:before="0" w:after="0"/>
        <w:ind w:left="1440" w:right="0" w:firstLine="720"/>
        <w:jc w:val="both"/>
        <w:rPr>
          <w:rFonts w:ascii="Times New Roman;Times;serif" w:hAnsi="Times New Roman;Times;serif"/>
          <w:color w:val="000000"/>
          <w:sz w:val="20"/>
        </w:rPr>
      </w:pPr>
      <w:r>
        <w:rPr>
          <w:rFonts w:ascii="Times New Roman;Times;serif" w:hAnsi="Times New Roman;Times;serif"/>
          <w:color w:val="000000"/>
          <w:sz w:val="20"/>
        </w:rPr>
        <w:t>(vi)          [reserved];</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1440" w:right="0" w:firstLine="720"/>
        <w:jc w:val="both"/>
        <w:rPr>
          <w:rFonts w:ascii="Times New Roman;Times;serif" w:hAnsi="Times New Roman;Times;serif"/>
          <w:color w:val="000000"/>
          <w:sz w:val="20"/>
        </w:rPr>
      </w:pPr>
      <w:r>
        <w:rPr>
          <w:rFonts w:ascii="Times New Roman;Times;serif" w:hAnsi="Times New Roman;Times;serif"/>
          <w:color w:val="000000"/>
          <w:sz w:val="20"/>
        </w:rPr>
        <w:t>(vii)          maintain (a) insurance with financially sound and reputable insurance companies in at least the amounts (and with only those deductibles) customarily maintained, and against such risks as are typically insured against, by Persons of comparable size engaged in the same or similar business as the Company and its Subsidiaries; and (b) all worker’s compensation, employer’s liability insurance or similar insurance as may be required under the laws of any state or jurisdiction in which it may be engaged in business.  On and after the date that is thirty (30) days following the Closing Date, all such insurance policies required pursuant to clause (a) of this Section shall name the Agent as a loss payee (in the case of property or other casualty insurance) and an additional insured (in the case of liability insurance);</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1440" w:right="0" w:firstLine="720"/>
        <w:jc w:val="both"/>
        <w:rPr>
          <w:rFonts w:ascii="Times New Roman;Times;serif" w:hAnsi="Times New Roman;Times;serif"/>
          <w:color w:val="000000"/>
          <w:sz w:val="20"/>
        </w:rPr>
      </w:pPr>
      <w:r>
        <w:rPr>
          <w:rFonts w:ascii="Times New Roman;Times;serif" w:hAnsi="Times New Roman;Times;serif"/>
          <w:color w:val="000000"/>
          <w:sz w:val="20"/>
        </w:rPr>
        <w:t xml:space="preserve">(viii)          cause all payments due under this Note to (a) rank </w:t>
      </w:r>
      <w:r>
        <w:rPr>
          <w:rFonts w:ascii="Times New Roman;Times;serif" w:hAnsi="Times New Roman;Times;serif"/>
          <w:i/>
          <w:color w:val="000000"/>
          <w:sz w:val="20"/>
        </w:rPr>
        <w:t xml:space="preserve">pari passu </w:t>
      </w:r>
      <w:r>
        <w:rPr>
          <w:rFonts w:ascii="Times New Roman;Times;serif" w:hAnsi="Times New Roman;Times;serif"/>
          <w:color w:val="000000"/>
          <w:sz w:val="20"/>
        </w:rPr>
        <w:t>with all other Notes and all June 2026 Notes and (b) be senior to all other Indebtedness of the Company and its Subsidiaries, subject to Permitted Liens.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u w:val="single"/>
        </w:rPr>
        <w:t>Section 8</w:t>
      </w:r>
      <w:r>
        <w:rPr>
          <w:rFonts w:ascii="Times New Roman;Times;serif" w:hAnsi="Times New Roman;Times;serif"/>
          <w:color w:val="000000"/>
          <w:sz w:val="20"/>
        </w:rPr>
        <w:t>.          </w:t>
      </w:r>
      <w:r>
        <w:rPr>
          <w:rFonts w:ascii="Times New Roman;Times;serif" w:hAnsi="Times New Roman;Times;serif"/>
          <w:color w:val="000000"/>
          <w:sz w:val="20"/>
          <w:u w:val="single"/>
        </w:rPr>
        <w:t>Events of Default</w:t>
      </w:r>
      <w:r>
        <w:rPr>
          <w:rFonts w:ascii="Times New Roman;Times;serif" w:hAnsi="Times New Roman;Times;serif"/>
          <w:color w:val="000000"/>
          <w:sz w:val="20"/>
        </w:rPr>
        <w:t>.</w:t>
      </w:r>
    </w:p>
    <w:p>
      <w:pPr>
        <w:pStyle w:val="TextBody"/>
        <w:bidi w:val="0"/>
        <w:spacing w:lineRule="auto" w:line="300" w:before="0" w:after="0"/>
        <w:jc w:val="left"/>
        <w:rPr/>
      </w:pPr>
      <w:r>
        <w:rPr/>
      </w:r>
    </w:p>
    <w:p>
      <w:pPr>
        <w:pStyle w:val="TextBody"/>
        <w:bidi w:val="0"/>
        <w:spacing w:lineRule="auto" w:line="300"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(a)          “</w:t>
      </w:r>
      <w:r>
        <w:rPr>
          <w:rFonts w:ascii="Times New Roman;Times;serif" w:hAnsi="Times New Roman;Times;serif"/>
          <w:color w:val="000000"/>
          <w:sz w:val="20"/>
          <w:u w:val="single"/>
        </w:rPr>
        <w:t>Event of Default</w:t>
      </w:r>
      <w:r>
        <w:rPr>
          <w:rFonts w:ascii="Times New Roman;Times;serif" w:hAnsi="Times New Roman;Times;serif"/>
          <w:color w:val="000000"/>
          <w:sz w:val="20"/>
        </w:rPr>
        <w:t>” means, wherever used herein, any of the following events (whatever the reason for such event and whether such event shall be voluntary or involuntary or effected by operation of law or pursuant to any judgment, decree or order of any court, or any order, rule or regulation of any administrative or governmental body):</w:t>
      </w:r>
    </w:p>
    <w:p>
      <w:pPr>
        <w:pStyle w:val="TextBody"/>
        <w:bidi w:val="0"/>
        <w:spacing w:lineRule="auto" w:line="300" w:before="0" w:after="0"/>
        <w:jc w:val="left"/>
        <w:rPr/>
      </w:pPr>
      <w:r>
        <w:rPr/>
      </w:r>
    </w:p>
    <w:p>
      <w:pPr>
        <w:pStyle w:val="TextBody"/>
        <w:bidi w:val="0"/>
        <w:spacing w:lineRule="auto" w:line="300" w:before="0" w:after="0"/>
        <w:ind w:left="1440" w:right="0" w:firstLine="720"/>
        <w:jc w:val="both"/>
        <w:rPr>
          <w:rFonts w:ascii="Times New Roman;Times;serif" w:hAnsi="Times New Roman;Times;serif"/>
          <w:color w:val="000000"/>
          <w:sz w:val="20"/>
        </w:rPr>
      </w:pPr>
      <w:r>
        <w:rPr>
          <w:rFonts w:ascii="Times New Roman;Times;serif" w:hAnsi="Times New Roman;Times;serif"/>
          <w:color w:val="000000"/>
          <w:sz w:val="20"/>
        </w:rPr>
        <w:t>(i)          any default in the payment of (A) the principal amount of any Note or (B) interest, liquidated damages and other amounts owing to a Holder on any Note, as and when the same shall become due and payable (whether on a Conversion Date or the Maturity Date or by acceleration or otherwise) which default, solely in the case of an interest payment or other default under clause (B) above, is not cured within three (3) Trading Days;</w:t>
      </w:r>
    </w:p>
    <w:p>
      <w:pPr>
        <w:pStyle w:val="TextBody"/>
        <w:bidi w:val="0"/>
        <w:spacing w:lineRule="auto" w:line="300" w:before="0" w:after="0"/>
        <w:jc w:val="left"/>
        <w:rPr/>
      </w:pPr>
      <w:r>
        <w:rPr/>
      </w:r>
    </w:p>
    <w:p>
      <w:pPr>
        <w:pStyle w:val="TextBody"/>
        <w:bidi w:val="0"/>
        <w:spacing w:lineRule="auto" w:line="300" w:before="0" w:after="0"/>
        <w:ind w:left="1440" w:right="0" w:firstLine="720"/>
        <w:jc w:val="both"/>
        <w:rPr>
          <w:rFonts w:ascii="Times New Roman;Times;serif" w:hAnsi="Times New Roman;Times;serif"/>
          <w:color w:val="000000"/>
          <w:sz w:val="20"/>
        </w:rPr>
      </w:pPr>
      <w:r>
        <w:rPr>
          <w:rFonts w:ascii="Times New Roman;Times;serif" w:hAnsi="Times New Roman;Times;serif"/>
          <w:color w:val="000000"/>
          <w:sz w:val="20"/>
        </w:rPr>
        <w:t>(ii)          the Company shall fail to observe or perform any other covenant or agreement contained in the Notes (other than a breach by the Company of its obligations to deliver Ordinary Shares to the Holder upon conversion, which breach is addressed in clause (xii) below) or in any Transaction Document, which failure is not cured, if possible to cure, within the earlier to occur of (A) ten (10) Trading Days after notice of such failure sent by the Holder or by any other Holder to the Company and (B) twenty (20) Trading Days after the Company has become aware of such failure;</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16</w:t>
      </w:r>
    </w:p>
    <w:p>
      <w:pPr>
        <w:pStyle w:val="HorizontalLine"/>
        <w:pBdr>
          <w:bottom w:val="single" w:sz="12" w:space="0" w:color="808080"/>
        </w:pBdr>
        <w:bidi w:val="0"/>
        <w:spacing w:before="200" w:after="200"/>
        <w:jc w:val="left"/>
        <w:rPr/>
      </w:pPr>
      <w:r>
        <w:rPr/>
      </w:r>
    </w:p>
    <w:p>
      <w:pPr>
        <w:pStyle w:val="TextBody"/>
        <w:bidi w:val="0"/>
        <w:spacing w:lineRule="auto" w:line="300" w:before="0" w:after="0"/>
        <w:ind w:left="1440" w:right="0" w:firstLine="720"/>
        <w:jc w:val="both"/>
        <w:rPr>
          <w:rFonts w:ascii="Times New Roman;Times;serif" w:hAnsi="Times New Roman;Times;serif"/>
          <w:color w:val="000000"/>
          <w:sz w:val="20"/>
        </w:rPr>
      </w:pPr>
      <w:r>
        <w:rPr>
          <w:rFonts w:ascii="Times New Roman;Times;serif" w:hAnsi="Times New Roman;Times;serif"/>
          <w:color w:val="000000"/>
          <w:sz w:val="20"/>
        </w:rPr>
        <w:t>(iii)          a default or event of default (subject to any grace or cure period provided in the applicable agreement, document or instrument) shall occur under (A) any of the Transaction Documents or (B) any other material agreement, lease, document or instrument to which the Company or any Subsidiary is obligated (and not covered by clause (vi) below);</w:t>
      </w:r>
    </w:p>
    <w:p>
      <w:pPr>
        <w:pStyle w:val="TextBody"/>
        <w:bidi w:val="0"/>
        <w:spacing w:lineRule="auto" w:line="300" w:before="0" w:after="0"/>
        <w:jc w:val="left"/>
        <w:rPr/>
      </w:pPr>
      <w:r>
        <w:rPr/>
      </w:r>
    </w:p>
    <w:p>
      <w:pPr>
        <w:pStyle w:val="TextBody"/>
        <w:bidi w:val="0"/>
        <w:spacing w:lineRule="auto" w:line="300" w:before="0" w:after="0"/>
        <w:ind w:left="1440" w:right="0" w:firstLine="720"/>
        <w:jc w:val="both"/>
        <w:rPr>
          <w:rFonts w:ascii="Times New Roman;Times;serif" w:hAnsi="Times New Roman;Times;serif"/>
          <w:color w:val="000000"/>
          <w:sz w:val="20"/>
        </w:rPr>
      </w:pPr>
      <w:r>
        <w:rPr>
          <w:rFonts w:ascii="Times New Roman;Times;serif" w:hAnsi="Times New Roman;Times;serif"/>
          <w:color w:val="000000"/>
          <w:sz w:val="20"/>
        </w:rPr>
        <w:t>(iv)          any representation or warranty made in this Note, any other Transaction Documents, any written statement pursuant hereto or thereto or any other report, financial statement or certificate made or delivered to the Holder or any other Holder shall be untrue or incorrect in any material respect as of the date when made or deemed made;</w:t>
      </w:r>
    </w:p>
    <w:p>
      <w:pPr>
        <w:pStyle w:val="TextBody"/>
        <w:bidi w:val="0"/>
        <w:spacing w:lineRule="auto" w:line="300" w:before="0" w:after="0"/>
        <w:jc w:val="left"/>
        <w:rPr/>
      </w:pPr>
      <w:r>
        <w:rPr/>
      </w:r>
    </w:p>
    <w:p>
      <w:pPr>
        <w:pStyle w:val="TextBody"/>
        <w:bidi w:val="0"/>
        <w:spacing w:lineRule="auto" w:line="300" w:before="0" w:after="0"/>
        <w:ind w:left="1440" w:right="0" w:firstLine="720"/>
        <w:jc w:val="both"/>
        <w:rPr>
          <w:rFonts w:ascii="Times New Roman;Times;serif" w:hAnsi="Times New Roman;Times;serif"/>
          <w:color w:val="000000"/>
          <w:sz w:val="20"/>
        </w:rPr>
      </w:pPr>
      <w:r>
        <w:rPr>
          <w:rFonts w:ascii="Times New Roman;Times;serif" w:hAnsi="Times New Roman;Times;serif"/>
          <w:color w:val="000000"/>
          <w:sz w:val="20"/>
        </w:rPr>
        <w:t>(v)           the Company or any Subsidiary shall be subject to a Bankruptcy Event;</w:t>
      </w:r>
    </w:p>
    <w:p>
      <w:pPr>
        <w:pStyle w:val="TextBody"/>
        <w:bidi w:val="0"/>
        <w:spacing w:lineRule="auto" w:line="300" w:before="0" w:after="0"/>
        <w:jc w:val="left"/>
        <w:rPr/>
      </w:pPr>
      <w:r>
        <w:rPr/>
      </w:r>
    </w:p>
    <w:p>
      <w:pPr>
        <w:pStyle w:val="TextBody"/>
        <w:bidi w:val="0"/>
        <w:spacing w:lineRule="auto" w:line="300" w:before="0" w:after="0"/>
        <w:ind w:left="1440" w:right="0" w:firstLine="720"/>
        <w:jc w:val="both"/>
        <w:rPr>
          <w:rFonts w:ascii="Times New Roman;Times;serif" w:hAnsi="Times New Roman;Times;serif"/>
          <w:color w:val="000000"/>
          <w:sz w:val="20"/>
        </w:rPr>
      </w:pPr>
      <w:r>
        <w:rPr>
          <w:rFonts w:ascii="Times New Roman;Times;serif" w:hAnsi="Times New Roman;Times;serif"/>
          <w:color w:val="000000"/>
          <w:sz w:val="20"/>
        </w:rPr>
        <w:t>(vi)        the Company or any Subsidiary shall default on any of its obligations under any Indebtedness, that (a) involves an obligation greater than $500,000, whether such Indebtedness now exists or shall hereafter be created, and (b) results in such Indebtedness in excess of $500,000 becoming or being declared due and payable prior to the date on which it would otherwise become due and payable;</w:t>
      </w:r>
    </w:p>
    <w:p>
      <w:pPr>
        <w:pStyle w:val="TextBody"/>
        <w:bidi w:val="0"/>
        <w:spacing w:lineRule="auto" w:line="300" w:before="0" w:after="0"/>
        <w:jc w:val="left"/>
        <w:rPr/>
      </w:pPr>
      <w:r>
        <w:rPr/>
      </w:r>
    </w:p>
    <w:p>
      <w:pPr>
        <w:pStyle w:val="TextBody"/>
        <w:bidi w:val="0"/>
        <w:spacing w:lineRule="auto" w:line="300" w:before="0" w:after="0"/>
        <w:ind w:left="1440" w:right="0" w:firstLine="720"/>
        <w:jc w:val="both"/>
        <w:rPr>
          <w:rFonts w:ascii="Times New Roman;Times;serif" w:hAnsi="Times New Roman;Times;serif"/>
          <w:color w:val="000000"/>
          <w:sz w:val="20"/>
        </w:rPr>
      </w:pPr>
      <w:r>
        <w:rPr>
          <w:rFonts w:ascii="Times New Roman;Times;serif" w:hAnsi="Times New Roman;Times;serif"/>
          <w:color w:val="000000"/>
          <w:sz w:val="20"/>
        </w:rPr>
        <w:t>(vii)        the Ordinary Shares shall not be eligible for listing or quotation for trading on a Trading Market and shall not be eligible to resume listing or quotation for trading thereon within five (5) Trading Days;</w:t>
      </w:r>
    </w:p>
    <w:p>
      <w:pPr>
        <w:pStyle w:val="TextBody"/>
        <w:bidi w:val="0"/>
        <w:spacing w:lineRule="auto" w:line="300" w:before="0" w:after="0"/>
        <w:jc w:val="left"/>
        <w:rPr/>
      </w:pPr>
      <w:r>
        <w:rPr/>
      </w:r>
    </w:p>
    <w:p>
      <w:pPr>
        <w:pStyle w:val="TextBody"/>
        <w:bidi w:val="0"/>
        <w:spacing w:lineRule="auto" w:line="300" w:before="0" w:after="0"/>
        <w:ind w:left="1440" w:right="0" w:firstLine="720"/>
        <w:jc w:val="both"/>
        <w:rPr>
          <w:rFonts w:ascii="Times New Roman;Times;serif" w:hAnsi="Times New Roman;Times;serif"/>
          <w:color w:val="000000"/>
          <w:sz w:val="20"/>
        </w:rPr>
      </w:pPr>
      <w:r>
        <w:rPr>
          <w:rFonts w:ascii="Times New Roman;Times;serif" w:hAnsi="Times New Roman;Times;serif"/>
          <w:color w:val="000000"/>
          <w:sz w:val="20"/>
        </w:rPr>
        <w:t>(viii)        the Company (and all of its Subsidiaries, taken as a whole) shall be a party to any (A) Change of Control Transaction or (B) Fundamental Transaction;</w:t>
      </w:r>
    </w:p>
    <w:p>
      <w:pPr>
        <w:pStyle w:val="TextBody"/>
        <w:bidi w:val="0"/>
        <w:spacing w:lineRule="auto" w:line="300" w:before="0" w:after="0"/>
        <w:jc w:val="left"/>
        <w:rPr/>
      </w:pPr>
      <w:r>
        <w:rPr/>
      </w:r>
    </w:p>
    <w:p>
      <w:pPr>
        <w:pStyle w:val="TextBody"/>
        <w:bidi w:val="0"/>
        <w:spacing w:lineRule="auto" w:line="300" w:before="0" w:after="0"/>
        <w:ind w:left="1440" w:right="0" w:firstLine="720"/>
        <w:jc w:val="both"/>
        <w:rPr>
          <w:rFonts w:ascii="Times New Roman;Times;serif" w:hAnsi="Times New Roman;Times;serif"/>
          <w:color w:val="000000"/>
          <w:sz w:val="20"/>
        </w:rPr>
      </w:pPr>
      <w:r>
        <w:rPr>
          <w:rFonts w:ascii="Times New Roman;Times;serif" w:hAnsi="Times New Roman;Times;serif"/>
          <w:color w:val="000000"/>
          <w:sz w:val="20"/>
        </w:rPr>
        <w:t>(ix)          [reserved];</w:t>
      </w:r>
    </w:p>
    <w:p>
      <w:pPr>
        <w:pStyle w:val="TextBody"/>
        <w:bidi w:val="0"/>
        <w:spacing w:lineRule="auto" w:line="300" w:before="0" w:after="0"/>
        <w:jc w:val="left"/>
        <w:rPr/>
      </w:pPr>
      <w:r>
        <w:rPr/>
      </w:r>
    </w:p>
    <w:p>
      <w:pPr>
        <w:pStyle w:val="TextBody"/>
        <w:bidi w:val="0"/>
        <w:spacing w:lineRule="auto" w:line="300" w:before="0" w:after="0"/>
        <w:ind w:left="1440" w:right="0" w:firstLine="720"/>
        <w:jc w:val="both"/>
        <w:rPr>
          <w:rFonts w:ascii="Times New Roman;Times;serif" w:hAnsi="Times New Roman;Times;serif"/>
          <w:color w:val="000000"/>
          <w:sz w:val="20"/>
        </w:rPr>
      </w:pPr>
      <w:r>
        <w:rPr>
          <w:rFonts w:ascii="Times New Roman;Times;serif" w:hAnsi="Times New Roman;Times;serif"/>
          <w:color w:val="000000"/>
          <w:sz w:val="20"/>
        </w:rPr>
        <w:t>(x)          [reserved];</w:t>
      </w:r>
    </w:p>
    <w:p>
      <w:pPr>
        <w:pStyle w:val="TextBody"/>
        <w:bidi w:val="0"/>
        <w:spacing w:lineRule="auto" w:line="300" w:before="0" w:after="0"/>
        <w:jc w:val="left"/>
        <w:rPr/>
      </w:pPr>
      <w:r>
        <w:rPr/>
      </w:r>
    </w:p>
    <w:p>
      <w:pPr>
        <w:pStyle w:val="TextBody"/>
        <w:bidi w:val="0"/>
        <w:spacing w:lineRule="auto" w:line="300" w:before="0" w:after="0"/>
        <w:ind w:left="1440" w:right="0" w:firstLine="720"/>
        <w:jc w:val="both"/>
        <w:rPr>
          <w:rFonts w:ascii="Times New Roman;Times;serif" w:hAnsi="Times New Roman;Times;serif"/>
          <w:color w:val="000000"/>
          <w:sz w:val="20"/>
        </w:rPr>
      </w:pPr>
      <w:r>
        <w:rPr>
          <w:rFonts w:ascii="Times New Roman;Times;serif" w:hAnsi="Times New Roman;Times;serif"/>
          <w:color w:val="000000"/>
          <w:sz w:val="20"/>
        </w:rPr>
        <w:t>(xi)          the occurrence of any Public Information Failure (as defined in the Purchase Agreement) that remains uncured for at least ten (10) calendar days or any restatement of any of the financial statements included in any Annual Report on Form 10-K or Current Report on Form 8-K of the Company;</w:t>
      </w:r>
    </w:p>
    <w:p>
      <w:pPr>
        <w:pStyle w:val="TextBody"/>
        <w:bidi w:val="0"/>
        <w:spacing w:lineRule="auto" w:line="300" w:before="0" w:after="0"/>
        <w:jc w:val="left"/>
        <w:rPr/>
      </w:pPr>
      <w:r>
        <w:rPr/>
      </w:r>
    </w:p>
    <w:p>
      <w:pPr>
        <w:pStyle w:val="TextBody"/>
        <w:bidi w:val="0"/>
        <w:spacing w:lineRule="auto" w:line="240" w:before="0" w:after="0"/>
        <w:ind w:left="1440" w:right="0" w:firstLine="720"/>
        <w:jc w:val="both"/>
        <w:rPr>
          <w:rFonts w:ascii="Times New Roman;Times;serif" w:hAnsi="Times New Roman;Times;serif"/>
          <w:color w:val="000000"/>
          <w:sz w:val="20"/>
        </w:rPr>
      </w:pPr>
      <w:r>
        <w:rPr>
          <w:rFonts w:ascii="Times New Roman;Times;serif" w:hAnsi="Times New Roman;Times;serif"/>
          <w:color w:val="000000"/>
          <w:sz w:val="20"/>
        </w:rPr>
        <w:t xml:space="preserve">(xii)          the Company shall fail for any reason to deliver Conversion Shares to a Holder prior to the fifth (5th) Trading Day after a Conversion Date pursuant to </w:t>
      </w:r>
      <w:r>
        <w:rPr>
          <w:rFonts w:ascii="Times New Roman;Times;serif" w:hAnsi="Times New Roman;Times;serif"/>
          <w:color w:val="000000"/>
          <w:sz w:val="20"/>
          <w:u w:val="single"/>
        </w:rPr>
        <w:t>Section 4(c)</w:t>
      </w:r>
      <w:r>
        <w:rPr>
          <w:rFonts w:ascii="Times New Roman;Times;serif" w:hAnsi="Times New Roman;Times;serif"/>
          <w:color w:val="000000"/>
          <w:sz w:val="20"/>
        </w:rPr>
        <w:t xml:space="preserve"> or Exercise Date (as defined in the Initial Warrants and Additional Warrants), or the Company shall provide at any time notice to the Holder, including by way of public announcement, of the Company’s intention to not honor requests for conversions of any Notes in accordance with the terms hereof;</w:t>
      </w:r>
    </w:p>
    <w:p>
      <w:pPr>
        <w:pStyle w:val="TextBody"/>
        <w:bidi w:val="0"/>
        <w:spacing w:lineRule="auto" w:line="300" w:before="0" w:after="0"/>
        <w:jc w:val="left"/>
        <w:rPr/>
      </w:pPr>
      <w:r>
        <w:rPr/>
      </w:r>
    </w:p>
    <w:p>
      <w:pPr>
        <w:pStyle w:val="TextBody"/>
        <w:bidi w:val="0"/>
        <w:spacing w:lineRule="auto" w:line="300" w:before="0" w:after="0"/>
        <w:ind w:left="1440" w:right="0" w:firstLine="720"/>
        <w:jc w:val="both"/>
        <w:rPr>
          <w:rFonts w:ascii="Times New Roman;Times;serif" w:hAnsi="Times New Roman;Times;serif"/>
          <w:color w:val="000000"/>
          <w:sz w:val="20"/>
        </w:rPr>
      </w:pPr>
      <w:r>
        <w:rPr>
          <w:rFonts w:ascii="Times New Roman;Times;serif" w:hAnsi="Times New Roman;Times;serif"/>
          <w:color w:val="000000"/>
          <w:sz w:val="20"/>
        </w:rPr>
        <w:t>(xiii)          the electronic transfer by the Company of Ordinary Shares through the Depository Trust Company or another established clearing corporation is no longer available or is subject to a “chill”;</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17</w:t>
      </w:r>
    </w:p>
    <w:p>
      <w:pPr>
        <w:pStyle w:val="HorizontalLine"/>
        <w:pBdr>
          <w:bottom w:val="single" w:sz="12" w:space="0" w:color="808080"/>
        </w:pBdr>
        <w:bidi w:val="0"/>
        <w:spacing w:before="200" w:after="200"/>
        <w:jc w:val="left"/>
        <w:rPr/>
      </w:pPr>
      <w:r>
        <w:rPr/>
      </w:r>
    </w:p>
    <w:p>
      <w:pPr>
        <w:pStyle w:val="TextBody"/>
        <w:bidi w:val="0"/>
        <w:spacing w:lineRule="auto" w:line="300" w:before="0" w:after="0"/>
        <w:ind w:left="1440" w:right="0" w:firstLine="720"/>
        <w:jc w:val="both"/>
        <w:rPr>
          <w:rFonts w:ascii="Times New Roman;Times;serif" w:hAnsi="Times New Roman;Times;serif"/>
          <w:color w:val="000000"/>
          <w:sz w:val="20"/>
        </w:rPr>
      </w:pPr>
      <w:r>
        <w:rPr>
          <w:rFonts w:ascii="Times New Roman;Times;serif" w:hAnsi="Times New Roman;Times;serif"/>
          <w:color w:val="000000"/>
          <w:sz w:val="20"/>
        </w:rPr>
        <w:t>(xiv)          any final, non-appealable monetary judgment, writ or similar final process shall be entered or filed against the Company, any Subsidiary or any of their respective property or other assets for more than $250,000 (to the extent not covered by insurance for which the carrier has not disclaimed liability), and such judgment, writ or similar final process shall remain unvacated, unsatisfied, unbonded or unstayed for a period of 45 calendar days;</w:t>
      </w:r>
    </w:p>
    <w:p>
      <w:pPr>
        <w:pStyle w:val="TextBody"/>
        <w:bidi w:val="0"/>
        <w:spacing w:lineRule="auto" w:line="300" w:before="0" w:after="0"/>
        <w:jc w:val="left"/>
        <w:rPr/>
      </w:pPr>
      <w:r>
        <w:rPr/>
      </w:r>
    </w:p>
    <w:p>
      <w:pPr>
        <w:pStyle w:val="TextBody"/>
        <w:bidi w:val="0"/>
        <w:spacing w:lineRule="auto" w:line="300" w:before="0" w:after="0"/>
        <w:ind w:left="1440" w:right="0" w:firstLine="720"/>
        <w:jc w:val="both"/>
        <w:rPr>
          <w:rFonts w:ascii="Times New Roman;Times;serif" w:hAnsi="Times New Roman;Times;serif"/>
          <w:color w:val="000000"/>
          <w:sz w:val="20"/>
        </w:rPr>
      </w:pPr>
      <w:r>
        <w:rPr>
          <w:rFonts w:ascii="Times New Roman;Times;serif" w:hAnsi="Times New Roman;Times;serif"/>
          <w:color w:val="000000"/>
          <w:sz w:val="20"/>
        </w:rPr>
        <w:t>(xv)          any Security Document shall for any reason (other than solely as a result of any action or inaction by the Secured Parties (as defined in the Security Agreement)) fail or cease to create a valid Lien on any material portion of the Collateral (as defined in the Security Agreement) in favor of the Holder (or, to the extent applicable, the Agent on behalf of the Holder); or any material provision of any Security Document shall at any time for any reason (other than solely as a result of any action or inaction by the Secured Parties (as defined in the Security Agreement)) cease to be valid and binding on or enforceable against the Company, the validity or enforceability thereof shall be contested by the Company, or a proceeding shall be commenced by the Company, or any governmental authority having jurisdiction over the Company, seeking to establish the invalidity or unenforceability thereof;</w:t>
      </w:r>
    </w:p>
    <w:p>
      <w:pPr>
        <w:pStyle w:val="TextBody"/>
        <w:bidi w:val="0"/>
        <w:spacing w:lineRule="auto" w:line="300" w:before="0" w:after="0"/>
        <w:jc w:val="left"/>
        <w:rPr/>
      </w:pPr>
      <w:r>
        <w:rPr/>
      </w:r>
    </w:p>
    <w:p>
      <w:pPr>
        <w:pStyle w:val="TextBody"/>
        <w:bidi w:val="0"/>
        <w:spacing w:lineRule="auto" w:line="300" w:before="0" w:after="0"/>
        <w:ind w:left="1440" w:right="0" w:firstLine="720"/>
        <w:jc w:val="both"/>
        <w:rPr>
          <w:rFonts w:ascii="Times New Roman;Times;serif" w:hAnsi="Times New Roman;Times;serif"/>
          <w:color w:val="000000"/>
          <w:sz w:val="20"/>
        </w:rPr>
      </w:pPr>
      <w:r>
        <w:rPr>
          <w:rFonts w:ascii="Times New Roman;Times;serif" w:hAnsi="Times New Roman;Times;serif"/>
          <w:color w:val="000000"/>
          <w:sz w:val="20"/>
        </w:rPr>
        <w:t>(xvi)             the occurrence of a Material Adverse Effect; or</w:t>
      </w:r>
    </w:p>
    <w:p>
      <w:pPr>
        <w:pStyle w:val="TextBody"/>
        <w:bidi w:val="0"/>
        <w:spacing w:lineRule="auto" w:line="300" w:before="0" w:after="0"/>
        <w:jc w:val="left"/>
        <w:rPr/>
      </w:pPr>
      <w:r>
        <w:rPr/>
      </w:r>
    </w:p>
    <w:p>
      <w:pPr>
        <w:pStyle w:val="TextBody"/>
        <w:bidi w:val="0"/>
        <w:spacing w:lineRule="auto" w:line="300" w:before="0" w:after="0"/>
        <w:ind w:left="1440" w:right="0" w:firstLine="720"/>
        <w:jc w:val="both"/>
        <w:rPr>
          <w:rFonts w:ascii="Times New Roman;Times;serif" w:hAnsi="Times New Roman;Times;serif"/>
          <w:color w:val="000000"/>
          <w:sz w:val="20"/>
        </w:rPr>
      </w:pPr>
      <w:r>
        <w:rPr>
          <w:rFonts w:ascii="Times New Roman;Times;serif" w:hAnsi="Times New Roman;Times;serif"/>
          <w:color w:val="000000"/>
          <w:sz w:val="20"/>
        </w:rPr>
        <w:t>(xvii)          an Authorized Share Failure occurs and the Company does not obtain the shareholder approval contemplated in Section 4(c)(vi) hereof within the time periods required by such Section.</w:t>
      </w:r>
    </w:p>
    <w:p>
      <w:pPr>
        <w:pStyle w:val="TextBody"/>
        <w:bidi w:val="0"/>
        <w:spacing w:lineRule="auto" w:line="300" w:before="0" w:after="0"/>
        <w:jc w:val="left"/>
        <w:rPr/>
      </w:pPr>
      <w:r>
        <w:rPr/>
      </w:r>
    </w:p>
    <w:p>
      <w:pPr>
        <w:pStyle w:val="TextBody"/>
        <w:bidi w:val="0"/>
        <w:spacing w:lineRule="auto" w:line="300" w:before="0" w:after="0"/>
        <w:ind w:left="720" w:right="0" w:firstLine="810"/>
        <w:jc w:val="both"/>
        <w:rPr>
          <w:rFonts w:ascii="Times New Roman;Times;serif" w:hAnsi="Times New Roman;Times;serif"/>
          <w:color w:val="000000"/>
          <w:sz w:val="20"/>
        </w:rPr>
      </w:pPr>
      <w:r>
        <w:rPr>
          <w:rFonts w:ascii="Times New Roman;Times;serif" w:hAnsi="Times New Roman;Times;serif"/>
          <w:color w:val="000000"/>
          <w:sz w:val="20"/>
        </w:rPr>
        <w:t>(b)          </w:t>
      </w:r>
      <w:r>
        <w:rPr>
          <w:rFonts w:ascii="Times New Roman;Times;serif" w:hAnsi="Times New Roman;Times;serif"/>
          <w:color w:val="000000"/>
          <w:sz w:val="20"/>
          <w:u w:val="single"/>
        </w:rPr>
        <w:t>Remedies Upon Event of Default</w:t>
      </w:r>
      <w:r>
        <w:rPr>
          <w:rFonts w:ascii="Times New Roman;Times;serif" w:hAnsi="Times New Roman;Times;serif"/>
          <w:color w:val="000000"/>
          <w:sz w:val="20"/>
        </w:rPr>
        <w:t xml:space="preserve">. If any Event of Default occurs and is continuing, the outstanding principal amount of this Note plus accrued but unpaid interest, liquidated damages and other amounts owing in respect thereof through the date of acceleration, shall become, at the election of the Required Holder, immediately due and payable in cash; provided that such acceleration shall be automatic, without any notice or other action of the Required Holder is required, in respect of an Event of Default occurring pursuant to clause (v) of </w:t>
      </w:r>
      <w:r>
        <w:rPr>
          <w:rFonts w:ascii="Times New Roman;Times;serif" w:hAnsi="Times New Roman;Times;serif"/>
          <w:color w:val="000000"/>
          <w:sz w:val="20"/>
          <w:u w:val="single"/>
        </w:rPr>
        <w:t>Section 8(a)</w:t>
      </w:r>
      <w:r>
        <w:rPr>
          <w:rFonts w:ascii="Times New Roman;Times;serif" w:hAnsi="Times New Roman;Times;serif"/>
          <w:color w:val="000000"/>
          <w:sz w:val="20"/>
        </w:rPr>
        <w:t>.  Commencing five (5) days after the occurrence and continuance of any Event of Default (“</w:t>
      </w:r>
      <w:r>
        <w:rPr>
          <w:rFonts w:ascii="Times New Roman;Times;serif" w:hAnsi="Times New Roman;Times;serif"/>
          <w:color w:val="000000"/>
          <w:sz w:val="20"/>
          <w:u w:val="single"/>
        </w:rPr>
        <w:t>Interest Accrual Date</w:t>
      </w:r>
      <w:r>
        <w:rPr>
          <w:rFonts w:ascii="Times New Roman;Times;serif" w:hAnsi="Times New Roman;Times;serif"/>
          <w:color w:val="000000"/>
          <w:sz w:val="20"/>
        </w:rPr>
        <w:t>”), the interest on this Note shall accrue retroactively beginning on the Original Issue Date, at an interest rate equal to the lesser of 15.0% per annum or the maximum rate permitted under applicable law.  In connection with such acceleration described herein, the Required Holder need not provide, and the Company hereby waives, any presentment, demand, protest or other notice of any kind, and the Required Holder may immediately and without expiration of any grace period enforce any and all of its rights and remedies hereunder and all other remedies available to it under applicable law.  Such acceleration may be rescinded and annulled by the Required Holder at any time prior to payment hereunder and the Required Holder shall have all rights as a holder of the Note until such time, if any, as the Holder receives full payment pursuant to this Section 8(b).  No such rescission or annulment shall affect any subsequent Event of Default or impair any right consequent thereon.</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18</w:t>
      </w:r>
    </w:p>
    <w:p>
      <w:pPr>
        <w:pStyle w:val="HorizontalLine"/>
        <w:pBdr>
          <w:bottom w:val="single" w:sz="12" w:space="0" w:color="808080"/>
        </w:pBdr>
        <w:bidi w:val="0"/>
        <w:spacing w:before="200" w:after="200"/>
        <w:jc w:val="left"/>
        <w:rPr/>
      </w:pPr>
      <w:r>
        <w:rPr/>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u w:val="single"/>
        </w:rPr>
        <w:t>Section 9.</w:t>
      </w:r>
      <w:r>
        <w:rPr>
          <w:rFonts w:ascii="Times New Roman;Times;serif" w:hAnsi="Times New Roman;Times;serif"/>
          <w:color w:val="000000"/>
          <w:sz w:val="20"/>
        </w:rPr>
        <w:t>          </w:t>
      </w:r>
      <w:r>
        <w:rPr>
          <w:rFonts w:ascii="Times New Roman;Times;serif" w:hAnsi="Times New Roman;Times;serif"/>
          <w:color w:val="000000"/>
          <w:sz w:val="20"/>
          <w:u w:val="single"/>
        </w:rPr>
        <w:t>Redemption</w:t>
      </w:r>
      <w:r>
        <w:rPr>
          <w:rFonts w:ascii="Times New Roman;Times;serif" w:hAnsi="Times New Roman;Times;serif"/>
          <w:color w:val="000000"/>
          <w:sz w:val="20"/>
        </w:rPr>
        <w:t>.</w:t>
      </w:r>
    </w:p>
    <w:p>
      <w:pPr>
        <w:pStyle w:val="TextBody"/>
        <w:bidi w:val="0"/>
        <w:spacing w:lineRule="auto" w:line="300" w:before="0" w:after="0"/>
        <w:ind w:left="0" w:right="0" w:firstLine="720"/>
        <w:jc w:val="both"/>
        <w:rPr>
          <w:rFonts w:ascii="Times New Roman;Times;serif" w:hAnsi="Times New Roman;Times;serif"/>
          <w:sz w:val="20"/>
        </w:rPr>
      </w:pPr>
      <w:r>
        <w:rPr>
          <w:rFonts w:ascii="Times New Roman;Times;serif" w:hAnsi="Times New Roman;Times;serif"/>
          <w:sz w:val="20"/>
        </w:rPr>
      </w:r>
    </w:p>
    <w:p>
      <w:pPr>
        <w:pStyle w:val="Normal"/>
        <w:bidi w:val="0"/>
        <w:spacing w:before="0" w:after="0"/>
        <w:jc w:val="left"/>
        <w:rPr>
          <w:sz w:val="4"/>
          <w:szCs w:val="4"/>
        </w:rPr>
      </w:pPr>
      <w:r>
        <w:rPr>
          <w:sz w:val="4"/>
          <w:szCs w:val="4"/>
        </w:rPr>
      </w:r>
      <w:bookmarkStart w:id="12" w:name="z8485090bd59e4a89bbe18d6fc9850427"/>
      <w:bookmarkStart w:id="13" w:name="z8485090bd59e4a89bbe18d6fc9850427"/>
      <w:bookmarkEnd w:id="13"/>
    </w:p>
    <w:tbl>
      <w:tblPr>
        <w:tblW w:w="5463" w:type="dxa"/>
        <w:jc w:val="left"/>
        <w:tblInd w:w="0" w:type="dxa"/>
        <w:tblLayout w:type="fixed"/>
        <w:tblCellMar>
          <w:top w:w="0" w:type="dxa"/>
          <w:left w:w="0" w:type="dxa"/>
          <w:bottom w:w="0" w:type="dxa"/>
          <w:right w:w="0" w:type="dxa"/>
        </w:tblCellMar>
      </w:tblPr>
      <w:tblGrid>
        <w:gridCol w:w="38"/>
        <w:gridCol w:w="230"/>
        <w:gridCol w:w="5195"/>
      </w:tblGrid>
      <w:tr>
        <w:trPr/>
        <w:tc>
          <w:tcPr>
            <w:tcW w:w="38" w:type="dxa"/>
            <w:tcBorders/>
            <w:vAlign w:val="center"/>
          </w:tcPr>
          <w:p>
            <w:pPr>
              <w:pStyle w:val="TableContents"/>
              <w:bidi w:val="0"/>
              <w:spacing w:before="0" w:after="283"/>
              <w:jc w:val="left"/>
              <w:rPr/>
            </w:pPr>
            <w:r>
              <w:rPr/>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519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u w:val="single"/>
              </w:rPr>
              <w:t>Mandatory Redemption upon a Change of Control Transaction</w:t>
            </w:r>
            <w:r>
              <w:rPr>
                <w:rFonts w:ascii="Times New Roman;Times;serif" w:hAnsi="Times New Roman;Times;serif"/>
                <w:sz w:val="20"/>
              </w:rPr>
              <w:t>.</w:t>
            </w:r>
          </w:p>
        </w:tc>
      </w:tr>
    </w:tbl>
    <w:p>
      <w:pPr>
        <w:pStyle w:val="TextBody"/>
        <w:bidi w:val="0"/>
        <w:spacing w:lineRule="auto" w:line="300" w:before="0" w:after="0"/>
        <w:jc w:val="left"/>
        <w:rPr/>
      </w:pPr>
      <w:r>
        <w:rPr/>
      </w:r>
    </w:p>
    <w:p>
      <w:pPr>
        <w:pStyle w:val="TextBody"/>
        <w:bidi w:val="0"/>
        <w:spacing w:lineRule="auto" w:line="300" w:before="0" w:after="0"/>
        <w:ind w:left="1260" w:right="0" w:firstLine="1266"/>
        <w:jc w:val="both"/>
        <w:rPr>
          <w:rFonts w:ascii="Times New Roman;Times;serif" w:hAnsi="Times New Roman;Times;serif"/>
          <w:color w:val="000000"/>
          <w:sz w:val="20"/>
        </w:rPr>
      </w:pPr>
      <w:r>
        <w:rPr>
          <w:rFonts w:ascii="Times New Roman;Times;serif" w:hAnsi="Times New Roman;Times;serif"/>
          <w:color w:val="000000"/>
          <w:sz w:val="20"/>
        </w:rPr>
        <w:t xml:space="preserve">(i)          At any time after the Original Issue Date, to the extent that there occurs a Change of Control Transaction, the Holder shall have the right, by delivering written notice to the Company, to cause the Company to redeem all or any portion of the Notes then outstanding, </w:t>
      </w:r>
      <w:r>
        <w:rPr>
          <w:rFonts w:ascii="Times New Roman;Times;serif" w:hAnsi="Times New Roman;Times;serif"/>
          <w:i/>
          <w:color w:val="000000"/>
          <w:sz w:val="20"/>
        </w:rPr>
        <w:t>plus</w:t>
      </w:r>
      <w:r>
        <w:rPr>
          <w:rFonts w:ascii="Times New Roman;Times;serif" w:hAnsi="Times New Roman;Times;serif"/>
          <w:color w:val="000000"/>
          <w:sz w:val="20"/>
        </w:rPr>
        <w:t xml:space="preserve"> all accrued and unpaid interest thereon (a “</w:t>
      </w:r>
      <w:r>
        <w:rPr>
          <w:rFonts w:ascii="Times New Roman;Times;serif" w:hAnsi="Times New Roman;Times;serif"/>
          <w:color w:val="000000"/>
          <w:sz w:val="20"/>
          <w:u w:val="single"/>
        </w:rPr>
        <w:t>Change of Control Redemption</w:t>
      </w:r>
      <w:r>
        <w:rPr>
          <w:rFonts w:ascii="Times New Roman;Times;serif" w:hAnsi="Times New Roman;Times;serif"/>
          <w:color w:val="000000"/>
          <w:sz w:val="20"/>
        </w:rPr>
        <w:t xml:space="preserve">”). The Notes subject to redemption pursuant to this Section 9(a) shall be redeemed by the Company in cash at a price equal to the product of (i) 105% and (ii) the aggregate principal amount of the Notes being redeemed, </w:t>
      </w:r>
      <w:r>
        <w:rPr>
          <w:rFonts w:ascii="Times New Roman;Times;serif" w:hAnsi="Times New Roman;Times;serif"/>
          <w:i/>
          <w:color w:val="000000"/>
          <w:sz w:val="20"/>
        </w:rPr>
        <w:t>plus</w:t>
      </w:r>
      <w:r>
        <w:rPr>
          <w:rFonts w:ascii="Times New Roman;Times;serif" w:hAnsi="Times New Roman;Times;serif"/>
          <w:color w:val="000000"/>
          <w:sz w:val="20"/>
        </w:rPr>
        <w:t xml:space="preserve"> and all accrued and unpaid interest thereon.</w:t>
      </w:r>
    </w:p>
    <w:p>
      <w:pPr>
        <w:pStyle w:val="TextBody"/>
        <w:bidi w:val="0"/>
        <w:spacing w:lineRule="auto" w:line="300" w:before="0" w:after="0"/>
        <w:jc w:val="left"/>
        <w:rPr/>
      </w:pPr>
      <w:r>
        <w:rPr/>
      </w:r>
    </w:p>
    <w:p>
      <w:pPr>
        <w:pStyle w:val="TextBody"/>
        <w:bidi w:val="0"/>
        <w:spacing w:lineRule="auto" w:line="300" w:before="0" w:after="0"/>
        <w:ind w:left="1260" w:right="0" w:firstLine="1266"/>
        <w:jc w:val="both"/>
        <w:rPr>
          <w:rFonts w:ascii="Times New Roman;Times;serif" w:hAnsi="Times New Roman;Times;serif"/>
          <w:color w:val="000000"/>
          <w:sz w:val="20"/>
        </w:rPr>
      </w:pPr>
      <w:r>
        <w:rPr>
          <w:rFonts w:ascii="Times New Roman;Times;serif" w:hAnsi="Times New Roman;Times;serif"/>
          <w:color w:val="000000"/>
          <w:sz w:val="20"/>
        </w:rPr>
        <w:t>(ii)          With respect to any portion of this Note which has been specified to be redeemed by the Company pursuant to the Change of Control Redemption and which has been redeemed in accordance with the provisions of this Section 9(a), (i) such portion of this Note shall no longer be deemed outstanding and (ii) all rights with respect to such portion of this Note shall cease and terminate.</w:t>
      </w:r>
    </w:p>
    <w:p>
      <w:pPr>
        <w:pStyle w:val="TextBody"/>
        <w:bidi w:val="0"/>
        <w:spacing w:lineRule="auto" w:line="300" w:before="0" w:after="0"/>
        <w:jc w:val="left"/>
        <w:rPr/>
      </w:pPr>
      <w:r>
        <w:rPr/>
      </w:r>
    </w:p>
    <w:p>
      <w:pPr>
        <w:pStyle w:val="TextBody"/>
        <w:bidi w:val="0"/>
        <w:spacing w:lineRule="auto" w:line="300" w:before="0" w:after="0"/>
        <w:ind w:left="1260" w:right="0" w:firstLine="1266"/>
        <w:jc w:val="both"/>
        <w:rPr>
          <w:rFonts w:ascii="Times New Roman;Times;serif" w:hAnsi="Times New Roman;Times;serif"/>
          <w:color w:val="000000"/>
          <w:sz w:val="20"/>
        </w:rPr>
      </w:pPr>
      <w:r>
        <w:rPr>
          <w:rFonts w:ascii="Times New Roman;Times;serif" w:hAnsi="Times New Roman;Times;serif"/>
          <w:color w:val="000000"/>
          <w:sz w:val="20"/>
        </w:rPr>
        <w:t>(iii)          In the event of the Company’s redemption of any portion of this Note under this Section 9(a), a Holder’s damages would be uncertain and difficult to estimate because of the parties’ inability to predict future interest rates and the uncertainty of the availability of a suitable substitute investment opportunity for such Holder. Accordingly, any redemption premium due under this Section 9(a) is intended by the parties to be, and shall be deemed, a reasonable estimate of such Holder’s actual loss of its investment opportunity and not as a penalty.</w:t>
      </w:r>
    </w:p>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14" w:name="z88be0d870d29481da029fc5ed580bc6b"/>
      <w:bookmarkStart w:id="15" w:name="z88be0d870d29481da029fc5ed580bc6b"/>
      <w:bookmarkEnd w:id="15"/>
    </w:p>
    <w:tbl>
      <w:tblPr>
        <w:tblW w:w="4653" w:type="dxa"/>
        <w:jc w:val="left"/>
        <w:tblInd w:w="0" w:type="dxa"/>
        <w:tblLayout w:type="fixed"/>
        <w:tblCellMar>
          <w:top w:w="0" w:type="dxa"/>
          <w:left w:w="0" w:type="dxa"/>
          <w:bottom w:w="0" w:type="dxa"/>
          <w:right w:w="0" w:type="dxa"/>
        </w:tblCellMar>
      </w:tblPr>
      <w:tblGrid>
        <w:gridCol w:w="38"/>
        <w:gridCol w:w="245"/>
        <w:gridCol w:w="4370"/>
      </w:tblGrid>
      <w:tr>
        <w:trPr/>
        <w:tc>
          <w:tcPr>
            <w:tcW w:w="38" w:type="dxa"/>
            <w:tcBorders/>
            <w:vAlign w:val="center"/>
          </w:tcPr>
          <w:p>
            <w:pPr>
              <w:pStyle w:val="TableContents"/>
              <w:bidi w:val="0"/>
              <w:spacing w:before="0" w:after="283"/>
              <w:jc w:val="left"/>
              <w:rPr/>
            </w:pPr>
            <w:r>
              <w:rPr/>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437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u w:val="single"/>
              </w:rPr>
              <w:t>Mandatory Redemption upon Financing Transaction</w:t>
            </w:r>
            <w:r>
              <w:rPr>
                <w:rFonts w:ascii="Times New Roman;Times;serif" w:hAnsi="Times New Roman;Times;serif"/>
                <w:sz w:val="20"/>
              </w:rPr>
              <w:t>.</w:t>
            </w:r>
          </w:p>
        </w:tc>
      </w:tr>
    </w:tbl>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16" w:name="z96c2699e72b24f0e9e919d08e328d37f"/>
      <w:bookmarkStart w:id="17" w:name="z96c2699e72b24f0e9e919d08e328d37f"/>
      <w:bookmarkEnd w:id="17"/>
    </w:p>
    <w:tbl>
      <w:tblPr>
        <w:tblW w:w="10205" w:type="dxa"/>
        <w:jc w:val="left"/>
        <w:tblInd w:w="0" w:type="dxa"/>
        <w:tblLayout w:type="fixed"/>
        <w:tblCellMar>
          <w:top w:w="0" w:type="dxa"/>
          <w:left w:w="0" w:type="dxa"/>
          <w:bottom w:w="0" w:type="dxa"/>
          <w:right w:w="0" w:type="dxa"/>
        </w:tblCellMar>
      </w:tblPr>
      <w:tblGrid>
        <w:gridCol w:w="38"/>
        <w:gridCol w:w="147"/>
        <w:gridCol w:w="10020"/>
      </w:tblGrid>
      <w:tr>
        <w:trPr/>
        <w:tc>
          <w:tcPr>
            <w:tcW w:w="38" w:type="dxa"/>
            <w:tcBorders/>
            <w:vAlign w:val="center"/>
          </w:tcPr>
          <w:p>
            <w:pPr>
              <w:pStyle w:val="TableContents"/>
              <w:bidi w:val="0"/>
              <w:spacing w:before="0" w:after="283"/>
              <w:jc w:val="left"/>
              <w:rPr/>
            </w:pPr>
            <w:r>
              <w:rPr/>
            </w:r>
          </w:p>
        </w:tc>
        <w:tc>
          <w:tcPr>
            <w:tcW w:w="14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1002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In the event (i) the Company or any of its Subsidiaries conducts an offering of its equity securities (which shall not include, for the avoidance of doubt, the issuance of the June 2026 Notes), or (ii) any Ordinary Share Equivalents of the Company outstanding as of the Original Issue Date are exercised or converted, as applicable, including, without limitation, any warrant inducement transactions of the Company, in each case, resulting in cash proceeds to the Company in connection therewith (a “</w:t>
            </w:r>
            <w:r>
              <w:rPr>
                <w:rFonts w:ascii="Times New Roman;Times;serif" w:hAnsi="Times New Roman;Times;serif"/>
                <w:sz w:val="20"/>
                <w:u w:val="single"/>
              </w:rPr>
              <w:t>Financing Transaction</w:t>
            </w:r>
            <w:r>
              <w:rPr>
                <w:rFonts w:ascii="Times New Roman;Times;serif" w:hAnsi="Times New Roman;Times;serif"/>
                <w:sz w:val="20"/>
              </w:rPr>
              <w:t>”), the Company shall, within ten (10) Business Days of the receipt of the proceeds of such Financing Transaction, apply 33% of such gross proceeds the (“Financing Transaction Proceeds Amount”) towards the redemption (each, a “</w:t>
            </w:r>
            <w:r>
              <w:rPr>
                <w:rFonts w:ascii="Times New Roman;Times;serif" w:hAnsi="Times New Roman;Times;serif"/>
                <w:sz w:val="20"/>
                <w:u w:val="single"/>
              </w:rPr>
              <w:t>Financing Transaction Mandatory Redemption</w:t>
            </w:r>
            <w:r>
              <w:rPr>
                <w:rFonts w:ascii="Times New Roman;Times;serif" w:hAnsi="Times New Roman;Times;serif"/>
                <w:sz w:val="20"/>
              </w:rPr>
              <w:t>”) of the Notes and the June 2026 Notes, in accordance with the terms of Section 9(b)(ii) below.</w:t>
            </w:r>
          </w:p>
        </w:tc>
      </w:tr>
    </w:tbl>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18" w:name="zf568a09a6b9a4d73a3a457aa3a1ea6da"/>
      <w:bookmarkStart w:id="19" w:name="zf568a09a6b9a4d73a3a457aa3a1ea6da"/>
      <w:bookmarkEnd w:id="19"/>
    </w:p>
    <w:tbl>
      <w:tblPr>
        <w:tblW w:w="10205" w:type="dxa"/>
        <w:jc w:val="left"/>
        <w:tblInd w:w="0" w:type="dxa"/>
        <w:tblLayout w:type="fixed"/>
        <w:tblCellMar>
          <w:top w:w="0" w:type="dxa"/>
          <w:left w:w="0" w:type="dxa"/>
          <w:bottom w:w="0" w:type="dxa"/>
          <w:right w:w="0" w:type="dxa"/>
        </w:tblCellMar>
      </w:tblPr>
      <w:tblGrid>
        <w:gridCol w:w="38"/>
        <w:gridCol w:w="204"/>
        <w:gridCol w:w="9963"/>
      </w:tblGrid>
      <w:tr>
        <w:trPr/>
        <w:tc>
          <w:tcPr>
            <w:tcW w:w="38" w:type="dxa"/>
            <w:tcBorders/>
            <w:vAlign w:val="center"/>
          </w:tcPr>
          <w:p>
            <w:pPr>
              <w:pStyle w:val="TableContents"/>
              <w:bidi w:val="0"/>
              <w:spacing w:before="0" w:after="283"/>
              <w:jc w:val="left"/>
              <w:rPr/>
            </w:pPr>
            <w:r>
              <w:rPr/>
            </w:r>
          </w:p>
        </w:tc>
        <w:tc>
          <w:tcPr>
            <w:tcW w:w="2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996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 xml:space="preserve">Any Financing Transaction Mandatory Redemption payments shall be applied: (i) </w:t>
            </w:r>
            <w:r>
              <w:rPr>
                <w:rFonts w:ascii="Times New Roman;Times;serif" w:hAnsi="Times New Roman;Times;serif"/>
                <w:i/>
                <w:sz w:val="20"/>
              </w:rPr>
              <w:t>first</w:t>
            </w:r>
            <w:r>
              <w:rPr>
                <w:rFonts w:ascii="Times New Roman;Times;serif" w:hAnsi="Times New Roman;Times;serif"/>
                <w:sz w:val="20"/>
              </w:rPr>
              <w:t xml:space="preserve">, against any accrued and unpaid interest due and payable on the Initial Notes and the June 2026 Initial Notes (allocated pro rata as among the Initial Notes and the June 2026 Initial Notes and to each holder thereof on a pro rata basis in accordance with the aggregate principal amount of the Initial Notes and the June 2026 Initial Notes held thereby), (ii) </w:t>
            </w:r>
            <w:r>
              <w:rPr>
                <w:rFonts w:ascii="Times New Roman;Times;serif" w:hAnsi="Times New Roman;Times;serif"/>
                <w:i/>
                <w:sz w:val="20"/>
              </w:rPr>
              <w:t>second</w:t>
            </w:r>
            <w:r>
              <w:rPr>
                <w:rFonts w:ascii="Times New Roman;Times;serif" w:hAnsi="Times New Roman;Times;serif"/>
                <w:sz w:val="20"/>
              </w:rPr>
              <w:t xml:space="preserve">, against any accrued and unpaid interest due and payable on any Additional Notes and any June 2026 Additional Notes (allocated pro rata as among the Additional Notes and the June 2026 Additional Notes and to each holder thereof on a pro rata basis in accordance with the aggregate principal amount of the Additional Notes and the June 2026 Additional Notes held thereby) and (iii) </w:t>
            </w:r>
            <w:r>
              <w:rPr>
                <w:rFonts w:ascii="Times New Roman;Times;serif" w:hAnsi="Times New Roman;Times;serif"/>
                <w:i/>
                <w:sz w:val="20"/>
              </w:rPr>
              <w:t>third</w:t>
            </w:r>
            <w:r>
              <w:rPr>
                <w:rFonts w:ascii="Times New Roman;Times;serif" w:hAnsi="Times New Roman;Times;serif"/>
                <w:sz w:val="20"/>
              </w:rPr>
              <w:t>, at the Company’s sole election, against the outstanding principal amount of this Note, any Additional Notes and the June 2026 Notes then outstanding (allocated pro rata as among this Note, the Additional Notes and the June 2026 Notes and to each holder thereof on a pro rata basis in accordance with the aggregate principal amount of this Note, the applicable Additional Notes and the June 2026 Notes held thereby); provided that, in the case of (iii), (a) the Company shall pay to the Holder a redemption fee equal to 35% of the principal amount of this Note and/or any June 2026 Initial Notes being redeemed; and (b) the Company shall pay to the Holder a redemption fee equal to 15% of the principal amount of any Additional Notes or June 2026 Additional Notes being redeemed.</w:t>
            </w:r>
          </w:p>
        </w:tc>
      </w:tr>
    </w:tbl>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20" w:name="z9776e89763dd4b93b4b978ced79b40af"/>
      <w:bookmarkStart w:id="21" w:name="z9776e89763dd4b93b4b978ced79b40af"/>
      <w:bookmarkEnd w:id="21"/>
    </w:p>
    <w:tbl>
      <w:tblPr>
        <w:tblW w:w="10205" w:type="dxa"/>
        <w:jc w:val="left"/>
        <w:tblInd w:w="0" w:type="dxa"/>
        <w:tblLayout w:type="fixed"/>
        <w:tblCellMar>
          <w:top w:w="0" w:type="dxa"/>
          <w:left w:w="0" w:type="dxa"/>
          <w:bottom w:w="0" w:type="dxa"/>
          <w:right w:w="0" w:type="dxa"/>
        </w:tblCellMar>
      </w:tblPr>
      <w:tblGrid>
        <w:gridCol w:w="38"/>
        <w:gridCol w:w="196"/>
        <w:gridCol w:w="9971"/>
      </w:tblGrid>
      <w:tr>
        <w:trPr/>
        <w:tc>
          <w:tcPr>
            <w:tcW w:w="38" w:type="dxa"/>
            <w:tcBorders/>
            <w:vAlign w:val="center"/>
          </w:tcPr>
          <w:p>
            <w:pPr>
              <w:pStyle w:val="TableContents"/>
              <w:bidi w:val="0"/>
              <w:spacing w:before="0" w:after="283"/>
              <w:jc w:val="left"/>
              <w:rPr/>
            </w:pPr>
            <w:r>
              <w:rPr/>
            </w:r>
          </w:p>
        </w:tc>
        <w:tc>
          <w:tcPr>
            <w:tcW w:w="1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97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u w:val="single"/>
              </w:rPr>
              <w:t>Other Redemptions</w:t>
            </w:r>
            <w:r>
              <w:rPr>
                <w:rFonts w:ascii="Times New Roman;Times;serif" w:hAnsi="Times New Roman;Times;serif"/>
                <w:sz w:val="20"/>
              </w:rPr>
              <w:t>. Other than as described in Section 9(a) and 9(b) hereof, the Company may not redeem or prepay this Note without the prior written consent of the Required Holder, which consent may be withheld in the Required Holder’s sole discretion.</w:t>
            </w:r>
          </w:p>
        </w:tc>
      </w:tr>
    </w:tbl>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19</w:t>
      </w:r>
    </w:p>
    <w:p>
      <w:pPr>
        <w:pStyle w:val="HorizontalLine"/>
        <w:pBdr>
          <w:bottom w:val="single" w:sz="12" w:space="0" w:color="808080"/>
        </w:pBdr>
        <w:bidi w:val="0"/>
        <w:spacing w:before="200" w:after="200"/>
        <w:jc w:val="left"/>
        <w:rPr/>
      </w:pPr>
      <w:r>
        <w:rPr/>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u w:val="single"/>
        </w:rPr>
        <w:t>Section 10</w:t>
      </w:r>
      <w:r>
        <w:rPr>
          <w:rFonts w:ascii="Times New Roman;Times;serif" w:hAnsi="Times New Roman;Times;serif"/>
          <w:color w:val="000000"/>
          <w:sz w:val="20"/>
        </w:rPr>
        <w:t>.          </w:t>
      </w:r>
      <w:r>
        <w:rPr>
          <w:rFonts w:ascii="Times New Roman;Times;serif" w:hAnsi="Times New Roman;Times;serif"/>
          <w:color w:val="000000"/>
          <w:sz w:val="20"/>
          <w:u w:val="single"/>
        </w:rPr>
        <w:t>Miscellaneous</w:t>
      </w:r>
      <w:r>
        <w:rPr>
          <w:rFonts w:ascii="Times New Roman;Times;serif" w:hAnsi="Times New Roman;Times;serif"/>
          <w:color w:val="000000"/>
          <w:sz w:val="20"/>
        </w:rPr>
        <w:t>.</w:t>
      </w:r>
    </w:p>
    <w:p>
      <w:pPr>
        <w:pStyle w:val="TextBody"/>
        <w:bidi w:val="0"/>
        <w:spacing w:lineRule="auto" w:line="300" w:before="0" w:after="0"/>
        <w:ind w:left="720" w:right="0" w:hanging="0"/>
        <w:jc w:val="both"/>
        <w:rPr/>
      </w:pPr>
      <w:r>
        <w:rPr/>
      </w:r>
    </w:p>
    <w:p>
      <w:pPr>
        <w:pStyle w:val="TextBody"/>
        <w:bidi w:val="0"/>
        <w:spacing w:lineRule="auto" w:line="300" w:before="0" w:after="0"/>
        <w:ind w:left="720" w:right="0" w:firstLine="540"/>
        <w:jc w:val="both"/>
        <w:rPr>
          <w:rFonts w:ascii="Times New Roman;Times;serif" w:hAnsi="Times New Roman;Times;serif"/>
          <w:color w:val="000000"/>
          <w:sz w:val="20"/>
        </w:rPr>
      </w:pPr>
      <w:r>
        <w:rPr>
          <w:rFonts w:ascii="Times New Roman;Times;serif" w:hAnsi="Times New Roman;Times;serif"/>
          <w:color w:val="000000"/>
          <w:sz w:val="20"/>
        </w:rPr>
        <w:t>(a)          </w:t>
      </w:r>
      <w:r>
        <w:rPr>
          <w:rFonts w:ascii="Times New Roman;Times;serif" w:hAnsi="Times New Roman;Times;serif"/>
          <w:color w:val="000000"/>
          <w:sz w:val="20"/>
          <w:u w:val="single"/>
        </w:rPr>
        <w:t>Notices</w:t>
      </w:r>
      <w:r>
        <w:rPr>
          <w:rFonts w:ascii="Times New Roman;Times;serif" w:hAnsi="Times New Roman;Times;serif"/>
          <w:color w:val="000000"/>
          <w:sz w:val="20"/>
        </w:rPr>
        <w:t>.  Any and all notices or other communications or deliveries to be provided by the Holder hereunder, including, without limitation, any Notice of Conversion, shall be in writing and delivered personally, by email attachment, or sent by a nationally recognized overnight courier service, addressed to the Company, at the address set forth above, or such other email address, or address as the Company may specify for such purposes by notice to the Holder delivered in accordance with this Section 10(a).  Any and all notices or other communications or deliveries to be provided by the Company hereunder shall be in writing and delivered personally, by email attachment, or sent by a nationally recognized overnight courier service addressed to each Holder at the email address or address of the Holder appearing on the books of the Company, or if no such email attachment or address appears on the books of the Company, at the principal place of business of such Holder, as set forth in the Purchase Agreement.  Any notice or other communication or deliveries hereunder shall be deemed given and effective on the earliest of (i) the date of transmission, if such notice or communication is delivered via email attachment to the email address set forth on the signature pages attached hereto prior to 5:30 p.m. (New York City time) on any date, (ii) the next Trading Day after the date of transmission, if such notice or communication is delivered via email attachment to the email address set forth on the signature pages attached hereto on a day that is not a Trading Day or later than 5:30 p.m. (New York City time) on any Trading Day, (iii) the second Trading Day following the date of mailing, if sent by U.S. nationally recognized overnight courier service or (iv) upon actual receipt by the party to whom such notice is required to be given.</w:t>
      </w:r>
    </w:p>
    <w:p>
      <w:pPr>
        <w:pStyle w:val="TextBody"/>
        <w:bidi w:val="0"/>
        <w:spacing w:lineRule="auto" w:line="300" w:before="0" w:after="0"/>
        <w:jc w:val="left"/>
        <w:rPr/>
      </w:pPr>
      <w:r>
        <w:rPr/>
      </w:r>
    </w:p>
    <w:p>
      <w:pPr>
        <w:pStyle w:val="TextBody"/>
        <w:bidi w:val="0"/>
        <w:spacing w:lineRule="auto" w:line="300" w:before="0" w:after="0"/>
        <w:ind w:left="720" w:right="0" w:firstLine="540"/>
        <w:jc w:val="both"/>
        <w:rPr>
          <w:rFonts w:ascii="Times New Roman;Times;serif" w:hAnsi="Times New Roman;Times;serif"/>
          <w:color w:val="000000"/>
          <w:sz w:val="20"/>
        </w:rPr>
      </w:pPr>
      <w:r>
        <w:rPr>
          <w:rFonts w:ascii="Times New Roman;Times;serif" w:hAnsi="Times New Roman;Times;serif"/>
          <w:color w:val="000000"/>
          <w:sz w:val="20"/>
        </w:rPr>
        <w:t xml:space="preserve">(b)        </w:t>
      </w:r>
      <w:r>
        <w:rPr>
          <w:rFonts w:ascii="Times New Roman;Times;serif" w:hAnsi="Times New Roman;Times;serif"/>
          <w:color w:val="000000"/>
          <w:sz w:val="20"/>
          <w:u w:val="single"/>
        </w:rPr>
        <w:t>Absolute Obligation</w:t>
      </w:r>
      <w:r>
        <w:rPr>
          <w:rFonts w:ascii="Times New Roman;Times;serif" w:hAnsi="Times New Roman;Times;serif"/>
          <w:color w:val="000000"/>
          <w:sz w:val="20"/>
        </w:rPr>
        <w:t xml:space="preserve">. Except as expressly provided herein, no provision of this Note shall alter or impair the obligation of the Company, which is absolute and unconditional, to pay the principal of, liquidated damages and accrued interest, as applicable, on this Note at the time, place, and rate, and in the coin or currency, herein prescribed.  This Note is a direct debt obligation of the Company.  This Note ranks </w:t>
      </w:r>
      <w:r>
        <w:rPr>
          <w:rFonts w:ascii="Times New Roman;Times;serif" w:hAnsi="Times New Roman;Times;serif"/>
          <w:i/>
          <w:color w:val="000000"/>
          <w:sz w:val="20"/>
        </w:rPr>
        <w:t>pari passu</w:t>
      </w:r>
      <w:r>
        <w:rPr>
          <w:rFonts w:ascii="Times New Roman;Times;serif" w:hAnsi="Times New Roman;Times;serif"/>
          <w:color w:val="000000"/>
          <w:sz w:val="20"/>
        </w:rPr>
        <w:t xml:space="preserve"> with all other Notes now or hereafter issued under the terms set forth herein.</w:t>
      </w:r>
    </w:p>
    <w:p>
      <w:pPr>
        <w:pStyle w:val="TextBody"/>
        <w:bidi w:val="0"/>
        <w:spacing w:lineRule="auto" w:line="300" w:before="0" w:after="0"/>
        <w:jc w:val="left"/>
        <w:rPr/>
      </w:pPr>
      <w:r>
        <w:rPr/>
      </w:r>
    </w:p>
    <w:p>
      <w:pPr>
        <w:pStyle w:val="TextBody"/>
        <w:bidi w:val="0"/>
        <w:spacing w:lineRule="auto" w:line="300" w:before="0" w:after="0"/>
        <w:ind w:left="720" w:right="0" w:firstLine="540"/>
        <w:jc w:val="both"/>
        <w:rPr>
          <w:rFonts w:ascii="Times New Roman;Times;serif" w:hAnsi="Times New Roman;Times;serif"/>
          <w:color w:val="000000"/>
          <w:sz w:val="20"/>
        </w:rPr>
      </w:pPr>
      <w:r>
        <w:rPr>
          <w:rFonts w:ascii="Times New Roman;Times;serif" w:hAnsi="Times New Roman;Times;serif"/>
          <w:color w:val="000000"/>
          <w:sz w:val="20"/>
        </w:rPr>
        <w:t>(c)          </w:t>
      </w:r>
      <w:r>
        <w:rPr>
          <w:rFonts w:ascii="Times New Roman;Times;serif" w:hAnsi="Times New Roman;Times;serif"/>
          <w:color w:val="000000"/>
          <w:sz w:val="20"/>
          <w:u w:val="single"/>
        </w:rPr>
        <w:t>Lost or Mutilated Note</w:t>
      </w:r>
      <w:r>
        <w:rPr>
          <w:rFonts w:ascii="Times New Roman;Times;serif" w:hAnsi="Times New Roman;Times;serif"/>
          <w:color w:val="000000"/>
          <w:sz w:val="20"/>
        </w:rPr>
        <w:t>.  If this Note shall be mutilated, lost, stolen or destroyed, the Company shall execute and deliver, in exchange and substitution for and upon cancellation of a mutilated Note, or in lieu of or in substitution for a lost, stolen or destroyed Note, a new Note for the principal amount of this Note so mutilated, lost, stolen or destroyed, but only upon receipt of evidence of such loss, theft or destruction of such Note, and of the ownership hereof, reasonably satisfactory to the Company.</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20</w:t>
      </w:r>
    </w:p>
    <w:p>
      <w:pPr>
        <w:pStyle w:val="HorizontalLine"/>
        <w:pBdr>
          <w:bottom w:val="single" w:sz="12" w:space="0" w:color="808080"/>
        </w:pBdr>
        <w:bidi w:val="0"/>
        <w:spacing w:before="200" w:after="200"/>
        <w:jc w:val="left"/>
        <w:rPr/>
      </w:pPr>
      <w:r>
        <w:rPr/>
      </w:r>
    </w:p>
    <w:p>
      <w:pPr>
        <w:pStyle w:val="TextBody"/>
        <w:bidi w:val="0"/>
        <w:spacing w:lineRule="auto" w:line="300" w:before="0" w:after="0"/>
        <w:ind w:left="720" w:right="0" w:firstLine="540"/>
        <w:jc w:val="both"/>
        <w:rPr>
          <w:rFonts w:ascii="Times New Roman;Times;serif" w:hAnsi="Times New Roman;Times;serif"/>
          <w:color w:val="000000"/>
          <w:sz w:val="20"/>
        </w:rPr>
      </w:pPr>
      <w:r>
        <w:rPr>
          <w:rFonts w:ascii="Times New Roman;Times;serif" w:hAnsi="Times New Roman;Times;serif"/>
          <w:color w:val="000000"/>
          <w:sz w:val="20"/>
        </w:rPr>
        <w:t>(d)          </w:t>
      </w:r>
      <w:r>
        <w:rPr>
          <w:rFonts w:ascii="Times New Roman;Times;serif" w:hAnsi="Times New Roman;Times;serif"/>
          <w:color w:val="000000"/>
          <w:sz w:val="20"/>
          <w:u w:val="single"/>
        </w:rPr>
        <w:t>Governing Law</w:t>
      </w:r>
      <w:r>
        <w:rPr>
          <w:rFonts w:ascii="Times New Roman;Times;serif" w:hAnsi="Times New Roman;Times;serif"/>
          <w:color w:val="000000"/>
          <w:sz w:val="20"/>
        </w:rPr>
        <w:t>.  All questions concerning the construction, validity, enforcement and interpretation of this Note shall be governed by and construed and enforced in accordance with the internal laws of the State of New York, without regard to the principles of conflict of laws thereof (other than Title 14 of Article 5 of the New York General Obligations Law).  Each party agrees that all legal proceedings concerning the interpretation, enforcement and defense of the transactions contemplated by any of the Transaction Documents (whether brought against a party hereto or its respective Affiliates, directors, officers, shareholders, employees or agents) shall be commenced in the state and federal courts sitting in the State of New York (the “</w:t>
      </w:r>
      <w:r>
        <w:rPr>
          <w:rFonts w:ascii="Times New Roman;Times;serif" w:hAnsi="Times New Roman;Times;serif"/>
          <w:color w:val="000000"/>
          <w:sz w:val="20"/>
          <w:u w:val="single"/>
        </w:rPr>
        <w:t>New York Courts</w:t>
      </w:r>
      <w:r>
        <w:rPr>
          <w:rFonts w:ascii="Times New Roman;Times;serif" w:hAnsi="Times New Roman;Times;serif"/>
          <w:color w:val="000000"/>
          <w:sz w:val="20"/>
        </w:rPr>
        <w:t>”).  Each party hereto hereby irrevocably submits to the exclusive jurisdiction of the New York Courts for the adjudication of any dispute hereunder or in connection herewith or with any transaction contemplated hereby or discussed herein (including with respect to the enforcement of any of the Transaction Documents), and hereby irrevocably waives, and agrees not to assert in any suit, action or proceeding, any claim that it is not personally subject to the jurisdiction of such New York Courts, or such New York Courts are improper or inconvenient venue for such proceeding.  Each party hereby irrevocably waives personal service of process and consents to process being served in any such suit, action or proceeding by mailing a copy thereof via registered or certified mail or overnight delivery (with evidence of delivery) to such party at the address in effect for notices to it under this Note and agrees that such service shall constitute good and sufficient service of process and notice thereof.  Nothing contained herein shall be deemed to limit in any way any right to serve process in any other manner permitted by applicable law. Each party hereto hereby irrevocably waives, to the fullest extent permitted by applicable law, any and all right to trial by jury in any legal proceeding arising out of or relating to this Note or the transactions contemplated hereby. If any party shall commence an action or proceeding to enforce any provisions of this Note, then the prevailing party in such action or proceeding shall be reimbursed by the other party for its reasonable and documented out-of-pocket attorneys fees and other costs and expenses incurred in the investigation, preparation and prosecution of such action or proceeding.</w:t>
      </w:r>
    </w:p>
    <w:p>
      <w:pPr>
        <w:pStyle w:val="TextBody"/>
        <w:bidi w:val="0"/>
        <w:spacing w:lineRule="auto" w:line="300" w:before="0" w:after="0"/>
        <w:ind w:left="720" w:right="0" w:firstLine="540"/>
        <w:jc w:val="both"/>
        <w:rPr>
          <w:rFonts w:ascii="Times New Roman;Times;serif" w:hAnsi="Times New Roman;Times;serif"/>
          <w:sz w:val="20"/>
        </w:rPr>
      </w:pPr>
      <w:r>
        <w:rPr>
          <w:rFonts w:ascii="Times New Roman;Times;serif" w:hAnsi="Times New Roman;Times;serif"/>
          <w:sz w:val="20"/>
        </w:rPr>
      </w:r>
    </w:p>
    <w:p>
      <w:pPr>
        <w:pStyle w:val="Normal"/>
        <w:bidi w:val="0"/>
        <w:spacing w:before="0" w:after="0"/>
        <w:jc w:val="left"/>
        <w:rPr>
          <w:sz w:val="4"/>
          <w:szCs w:val="4"/>
        </w:rPr>
      </w:pPr>
      <w:r>
        <w:rPr>
          <w:sz w:val="4"/>
          <w:szCs w:val="4"/>
        </w:rPr>
      </w:r>
      <w:bookmarkStart w:id="22" w:name="zcfe3fb625c954391ac2ad14d4771e92a"/>
      <w:bookmarkStart w:id="23" w:name="zcfe3fb625c954391ac2ad14d4771e92a"/>
      <w:bookmarkEnd w:id="23"/>
    </w:p>
    <w:tbl>
      <w:tblPr>
        <w:tblW w:w="10205" w:type="dxa"/>
        <w:jc w:val="left"/>
        <w:tblInd w:w="0" w:type="dxa"/>
        <w:tblLayout w:type="fixed"/>
        <w:tblCellMar>
          <w:top w:w="0" w:type="dxa"/>
          <w:left w:w="0" w:type="dxa"/>
          <w:bottom w:w="0" w:type="dxa"/>
          <w:right w:w="0" w:type="dxa"/>
        </w:tblCellMar>
      </w:tblPr>
      <w:tblGrid>
        <w:gridCol w:w="38"/>
        <w:gridCol w:w="177"/>
        <w:gridCol w:w="9990"/>
      </w:tblGrid>
      <w:tr>
        <w:trPr/>
        <w:tc>
          <w:tcPr>
            <w:tcW w:w="38" w:type="dxa"/>
            <w:tcBorders/>
            <w:vAlign w:val="center"/>
          </w:tcPr>
          <w:p>
            <w:pPr>
              <w:pStyle w:val="TableContents"/>
              <w:bidi w:val="0"/>
              <w:spacing w:before="0" w:after="283"/>
              <w:jc w:val="left"/>
              <w:rPr/>
            </w:pPr>
            <w:r>
              <w:rPr/>
            </w:r>
          </w:p>
        </w:tc>
        <w:tc>
          <w:tcPr>
            <w:tcW w:w="17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w:t>
            </w:r>
          </w:p>
        </w:tc>
        <w:tc>
          <w:tcPr>
            <w:tcW w:w="999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u w:val="single"/>
              </w:rPr>
              <w:t>Waiver</w:t>
            </w:r>
            <w:r>
              <w:rPr>
                <w:rFonts w:ascii="Times New Roman;Times;serif" w:hAnsi="Times New Roman;Times;serif"/>
                <w:sz w:val="20"/>
              </w:rPr>
              <w:t>.  Any waiver by the Company or the Required Holder of a breach of any provision of this Note shall not operate as or be construed to be a waiver of any other breach of such provision or of any breach of any other provision of this Note.  The failure of the Company or the Required Holder to insist upon strict adherence to any term of this Note on one or more occasions shall not be considered a waiver or deprive that party of the right thereafter to insist upon strict adherence to that term or any other term of this Note on any other occasion.  Any provision of this Note may be waived by the Required Holder, which waiver shall be binding on all of the holders of the Notes and their successors and assigns. Any provision of this Note may be amended by the Company or the Required Holder and must be in writing, which amendment shall be binding on all of the holders of the Notes and their successors and assigns.</w:t>
            </w:r>
          </w:p>
        </w:tc>
      </w:tr>
    </w:tbl>
    <w:p>
      <w:pPr>
        <w:pStyle w:val="TextBody"/>
        <w:bidi w:val="0"/>
        <w:spacing w:lineRule="auto" w:line="300" w:before="0" w:after="0"/>
        <w:jc w:val="left"/>
        <w:rPr/>
      </w:pPr>
      <w:r>
        <w:rPr/>
      </w:r>
    </w:p>
    <w:p>
      <w:pPr>
        <w:pStyle w:val="TextBody"/>
        <w:bidi w:val="0"/>
        <w:spacing w:lineRule="auto" w:line="300" w:before="0" w:after="0"/>
        <w:ind w:left="720" w:right="0" w:firstLine="540"/>
        <w:jc w:val="both"/>
        <w:rPr>
          <w:rFonts w:ascii="Times New Roman;Times;serif" w:hAnsi="Times New Roman;Times;serif"/>
          <w:color w:val="000000"/>
          <w:sz w:val="20"/>
        </w:rPr>
      </w:pPr>
      <w:r>
        <w:rPr>
          <w:rFonts w:ascii="Times New Roman;Times;serif" w:hAnsi="Times New Roman;Times;serif"/>
          <w:color w:val="000000"/>
          <w:sz w:val="20"/>
        </w:rPr>
        <w:t>(a)          </w:t>
      </w:r>
      <w:r>
        <w:rPr>
          <w:rFonts w:ascii="Times New Roman;Times;serif" w:hAnsi="Times New Roman;Times;serif"/>
          <w:color w:val="000000"/>
          <w:sz w:val="20"/>
          <w:u w:val="single"/>
        </w:rPr>
        <w:t>Severability</w:t>
      </w:r>
      <w:r>
        <w:rPr>
          <w:rFonts w:ascii="Times New Roman;Times;serif" w:hAnsi="Times New Roman;Times;serif"/>
          <w:color w:val="000000"/>
          <w:sz w:val="20"/>
        </w:rPr>
        <w:t>.  If any provision of this Note is invalid, illegal or unenforceable, the balance of this Note shall remain in effect, and if any provision is inapplicable to any Person or circumstance, it shall nevertheless remain applicable to all other Persons and circumstances.  If it shall be found that any interest or other amount deemed interest due hereunder violates the applicable law governing usury, the applicable rate of interest due hereunder shall automatically be lowered to equal the maximum rate of interest permitted under applicable law. The Company covenants (to the extent that it may lawfully do so) that it shall not at any time insist upon, plead, or in any manner whatsoever claim or take the benefit or advantage of, any stay, extension or usury law or other law which would prohibit or forgive the Company from paying all or any portion of the principal of or interest on this Note as contemplated herein, wherever enacted, now or at any time hereafter in force, or which may affect the covenants or the performance of this Note, and the Company (to the extent it may lawfully do so) hereby expressly waives all benefits or advantage of any such law, and covenants that it will not, by resort to any such law, hinder, delay or impede the execution of any power herein granted to the Holder, but will suffer and permit the execution of every such as though no such law has been enacted.</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21</w:t>
      </w:r>
    </w:p>
    <w:p>
      <w:pPr>
        <w:pStyle w:val="HorizontalLine"/>
        <w:pBdr>
          <w:bottom w:val="single" w:sz="12" w:space="0" w:color="808080"/>
        </w:pBdr>
        <w:bidi w:val="0"/>
        <w:spacing w:before="200" w:after="200"/>
        <w:jc w:val="left"/>
        <w:rPr/>
      </w:pPr>
      <w:r>
        <w:rPr/>
      </w:r>
    </w:p>
    <w:p>
      <w:pPr>
        <w:pStyle w:val="TextBody"/>
        <w:bidi w:val="0"/>
        <w:spacing w:lineRule="auto" w:line="300" w:before="0" w:after="0"/>
        <w:ind w:left="720" w:right="0" w:firstLine="540"/>
        <w:jc w:val="both"/>
        <w:rPr>
          <w:rFonts w:ascii="Times New Roman;Times;serif" w:hAnsi="Times New Roman;Times;serif"/>
          <w:color w:val="000000"/>
          <w:sz w:val="20"/>
        </w:rPr>
      </w:pPr>
      <w:r>
        <w:rPr>
          <w:rFonts w:ascii="Times New Roman;Times;serif" w:hAnsi="Times New Roman;Times;serif"/>
          <w:color w:val="000000"/>
          <w:sz w:val="20"/>
        </w:rPr>
        <w:t>(b)          </w:t>
      </w:r>
      <w:r>
        <w:rPr>
          <w:rFonts w:ascii="Times New Roman;Times;serif" w:hAnsi="Times New Roman;Times;serif"/>
          <w:color w:val="000000"/>
          <w:sz w:val="20"/>
          <w:u w:val="single"/>
        </w:rPr>
        <w:t>Remedies, Characterizations, Other Obligations, Breaches and Injunctive Relief</w:t>
      </w:r>
      <w:r>
        <w:rPr>
          <w:rFonts w:ascii="Times New Roman;Times;serif" w:hAnsi="Times New Roman;Times;serif"/>
          <w:color w:val="000000"/>
          <w:sz w:val="20"/>
        </w:rPr>
        <w:t>.  The remedies provided in this Note shall be cumulative and in addition to all other remedies available under this Note and any of the other Transaction Documents at law or in equity (including a decree of specific performance and/or other injunctive relief), and nothing herein shall limit the Holder’s right to pursue actual and consequential damages for any failure by the Company to comply with the terms of this Note. The Company covenants to the Holder that there shall be no characterization concerning this instrument other than as expressly provided herein. Amounts set forth or provided for herein with respect to payments, conversion and the like (and the computation thereof) shall be the amounts to be received by the Holder and shall not, except as expressly provided herein, be subject to any other obligation of the Company (or the performance thereof). The Company acknowledges that a breach by it of its obligations hereunder will cause irreparable harm to the Holder and that the remedy at law for any such breach may be inadequate. The Company therefore agrees that, in the event of any such breach or threatened breach, the Holder shall be entitled, in addition to all other available remedies, to an injunction restraining any such breach or any such threatened breach, without the necessity of showing economic loss and without any bond or other security being required. The Company shall provide all information and documentation to the Holder that is requested by the Holder to enable the Holder to confirm the Company’s compliance with the terms and conditions of this Note.</w:t>
      </w:r>
    </w:p>
    <w:p>
      <w:pPr>
        <w:pStyle w:val="TextBody"/>
        <w:bidi w:val="0"/>
        <w:spacing w:lineRule="auto" w:line="300" w:before="0" w:after="0"/>
        <w:jc w:val="left"/>
        <w:rPr/>
      </w:pPr>
      <w:r>
        <w:rPr/>
      </w:r>
    </w:p>
    <w:p>
      <w:pPr>
        <w:pStyle w:val="TextBody"/>
        <w:bidi w:val="0"/>
        <w:spacing w:lineRule="auto" w:line="300" w:before="0" w:after="0"/>
        <w:ind w:left="720" w:right="0" w:firstLine="540"/>
        <w:jc w:val="both"/>
        <w:rPr>
          <w:rFonts w:ascii="Times New Roman;Times;serif" w:hAnsi="Times New Roman;Times;serif"/>
          <w:color w:val="000000"/>
          <w:sz w:val="20"/>
        </w:rPr>
      </w:pPr>
      <w:r>
        <w:rPr>
          <w:rFonts w:ascii="Times New Roman;Times;serif" w:hAnsi="Times New Roman;Times;serif"/>
          <w:color w:val="000000"/>
          <w:sz w:val="20"/>
        </w:rPr>
        <w:t>(c)          </w:t>
      </w:r>
      <w:r>
        <w:rPr>
          <w:rFonts w:ascii="Times New Roman;Times;serif" w:hAnsi="Times New Roman;Times;serif"/>
          <w:color w:val="000000"/>
          <w:sz w:val="20"/>
          <w:u w:val="single"/>
        </w:rPr>
        <w:t>Next Business Day</w:t>
      </w:r>
      <w:r>
        <w:rPr>
          <w:rFonts w:ascii="Times New Roman;Times;serif" w:hAnsi="Times New Roman;Times;serif"/>
          <w:color w:val="000000"/>
          <w:sz w:val="20"/>
        </w:rPr>
        <w:t>.  Whenever any payment or other obligation hereunder shall be due on a day other than a Business Day, such payment shall be made on the next succeeding Business Day.</w:t>
      </w:r>
    </w:p>
    <w:p>
      <w:pPr>
        <w:pStyle w:val="TextBody"/>
        <w:bidi w:val="0"/>
        <w:spacing w:lineRule="auto" w:line="300" w:before="0" w:after="0"/>
        <w:jc w:val="left"/>
        <w:rPr/>
      </w:pPr>
      <w:r>
        <w:rPr/>
      </w:r>
    </w:p>
    <w:p>
      <w:pPr>
        <w:pStyle w:val="TextBody"/>
        <w:bidi w:val="0"/>
        <w:spacing w:lineRule="auto" w:line="300" w:before="0" w:after="0"/>
        <w:ind w:left="720" w:right="0" w:firstLine="540"/>
        <w:jc w:val="both"/>
        <w:rPr>
          <w:rFonts w:ascii="Times New Roman;Times;serif" w:hAnsi="Times New Roman;Times;serif"/>
          <w:color w:val="000000"/>
          <w:sz w:val="20"/>
        </w:rPr>
      </w:pPr>
      <w:r>
        <w:rPr>
          <w:rFonts w:ascii="Times New Roman;Times;serif" w:hAnsi="Times New Roman;Times;serif"/>
          <w:color w:val="000000"/>
          <w:sz w:val="20"/>
        </w:rPr>
        <w:t>(d)          </w:t>
      </w:r>
      <w:r>
        <w:rPr>
          <w:rFonts w:ascii="Times New Roman;Times;serif" w:hAnsi="Times New Roman;Times;serif"/>
          <w:color w:val="000000"/>
          <w:sz w:val="20"/>
          <w:u w:val="single"/>
        </w:rPr>
        <w:t>Headings</w:t>
      </w:r>
      <w:r>
        <w:rPr>
          <w:rFonts w:ascii="Times New Roman;Times;serif" w:hAnsi="Times New Roman;Times;serif"/>
          <w:color w:val="000000"/>
          <w:sz w:val="20"/>
        </w:rPr>
        <w:t>.  The headings contained herein are for convenience only, do not constitute a part of this Note and shall not be deemed to limit or affect any of the provisions hereof.</w:t>
      </w:r>
    </w:p>
    <w:p>
      <w:pPr>
        <w:pStyle w:val="TextBody"/>
        <w:bidi w:val="0"/>
        <w:spacing w:lineRule="auto" w:line="300" w:before="0" w:after="0"/>
        <w:jc w:val="left"/>
        <w:rPr/>
      </w:pPr>
      <w:r>
        <w:rPr/>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u w:val="single"/>
        </w:rPr>
        <w:t>Section 11</w:t>
      </w:r>
      <w:r>
        <w:rPr>
          <w:rFonts w:ascii="Times New Roman;Times;serif" w:hAnsi="Times New Roman;Times;serif"/>
          <w:color w:val="000000"/>
          <w:sz w:val="20"/>
        </w:rPr>
        <w:t xml:space="preserve">.   </w:t>
      </w:r>
      <w:r>
        <w:rPr>
          <w:rFonts w:ascii="Times New Roman;Times;serif" w:hAnsi="Times New Roman;Times;serif"/>
          <w:color w:val="000000"/>
          <w:sz w:val="20"/>
          <w:u w:val="single"/>
        </w:rPr>
        <w:t>Secured Obligation</w:t>
      </w:r>
      <w:r>
        <w:rPr>
          <w:rFonts w:ascii="Times New Roman;Times;serif" w:hAnsi="Times New Roman;Times;serif"/>
          <w:color w:val="000000"/>
          <w:sz w:val="20"/>
        </w:rPr>
        <w:t>.  The obligations of the Company under this Note are secured by the Collateral.</w:t>
      </w:r>
    </w:p>
    <w:p>
      <w:pPr>
        <w:pStyle w:val="TextBody"/>
        <w:bidi w:val="0"/>
        <w:spacing w:lineRule="auto" w:line="300" w:before="0" w:after="0"/>
        <w:jc w:val="left"/>
        <w:rPr/>
      </w:pPr>
      <w:r>
        <w:rPr/>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u w:val="single"/>
        </w:rPr>
        <w:t>Section 12</w:t>
      </w:r>
      <w:r>
        <w:rPr>
          <w:rFonts w:ascii="Times New Roman;Times;serif" w:hAnsi="Times New Roman;Times;serif"/>
          <w:color w:val="000000"/>
          <w:sz w:val="20"/>
        </w:rPr>
        <w:t xml:space="preserve">.   </w:t>
      </w:r>
      <w:r>
        <w:rPr>
          <w:rFonts w:ascii="Times New Roman;Times;serif" w:hAnsi="Times New Roman;Times;serif"/>
          <w:color w:val="000000"/>
          <w:sz w:val="20"/>
          <w:u w:val="single"/>
        </w:rPr>
        <w:t>Disclosure</w:t>
      </w:r>
      <w:r>
        <w:rPr>
          <w:rFonts w:ascii="Times New Roman;Times;serif" w:hAnsi="Times New Roman;Times;serif"/>
          <w:color w:val="000000"/>
          <w:sz w:val="20"/>
        </w:rPr>
        <w:t>.  Upon receipt or delivery by the Company of any notice in accordance with the terms of this Note, in the event that the Company believes that such notice contains material, non-public information relating to the Company or its Subsidiaries, the Company shall so indicate in such notice that it contains material, non-public information relating to the Company or its Subsidiaries and, simultaneously with the delivery of such notice to the Holder, the Company shall publicly disclose the contents of such notice in a Current Report on Form 8-K filed with the Commission.  If the Company does not indicate to the Holder with delivery of such notice that it contains material, non-public information relating to the Company or its Subsidiaries, the Holder shall be allowed to presume that all matters set forth in such notice do not constitute material, nonpublic information relating to the Company or its Subsidiaries.</w:t>
      </w:r>
    </w:p>
    <w:p>
      <w:pPr>
        <w:pStyle w:val="TextBody"/>
        <w:bidi w:val="0"/>
        <w:spacing w:lineRule="auto" w:line="300" w:before="0" w:after="0"/>
        <w:jc w:val="left"/>
        <w:rPr/>
      </w:pPr>
      <w:r>
        <w:rPr/>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u w:val="single"/>
        </w:rPr>
        <w:t>Section 13</w:t>
      </w:r>
      <w:r>
        <w:rPr>
          <w:rFonts w:ascii="Times New Roman;Times;serif" w:hAnsi="Times New Roman;Times;serif"/>
          <w:color w:val="000000"/>
          <w:sz w:val="20"/>
        </w:rPr>
        <w:t xml:space="preserve">.   </w:t>
      </w:r>
      <w:r>
        <w:rPr>
          <w:rFonts w:ascii="Times New Roman;Times;serif" w:hAnsi="Times New Roman;Times;serif"/>
          <w:color w:val="000000"/>
          <w:sz w:val="20"/>
          <w:u w:val="single"/>
        </w:rPr>
        <w:t>Amendment and Restatement</w:t>
      </w:r>
      <w:r>
        <w:rPr>
          <w:rFonts w:ascii="Times New Roman;Times;serif" w:hAnsi="Times New Roman;Times;serif"/>
          <w:color w:val="000000"/>
          <w:sz w:val="20"/>
        </w:rPr>
        <w:t>.  This Note amends and restates the Senior Secured Convertible Note, dated as of March 25, 2026, issued by the Company in favor of the Holder, and is not intended to be or operate as a novation or an accordance satisfaction thereof or the indebtedness, obligations and liability of the Company evidenced or provided for thereunder.</w:t>
      </w:r>
    </w:p>
    <w:p>
      <w:pPr>
        <w:pStyle w:val="TextBody"/>
        <w:bidi w:val="0"/>
        <w:spacing w:lineRule="auto" w:line="300" w:before="0" w:after="0"/>
        <w:jc w:val="left"/>
        <w:rPr/>
      </w:pPr>
      <w:r>
        <w:rPr/>
      </w:r>
    </w:p>
    <w:p>
      <w:pPr>
        <w:pStyle w:val="TextBody"/>
        <w:bidi w:val="0"/>
        <w:spacing w:lineRule="auto" w:line="300" w:before="0" w:after="0"/>
        <w:jc w:val="center"/>
        <w:rPr>
          <w:rFonts w:ascii="Times New Roman;Times;serif" w:hAnsi="Times New Roman;Times;serif"/>
          <w:color w:val="000000"/>
          <w:sz w:val="20"/>
        </w:rPr>
      </w:pPr>
      <w:r>
        <w:rPr>
          <w:rFonts w:ascii="Times New Roman;Times;serif" w:hAnsi="Times New Roman;Times;serif"/>
          <w:color w:val="000000"/>
          <w:sz w:val="20"/>
        </w:rPr>
        <w:t>*********************</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center"/>
        <w:rPr>
          <w:rFonts w:ascii="Times New Roman;Times;serif" w:hAnsi="Times New Roman;Times;serif"/>
          <w:i/>
          <w:color w:val="000000"/>
          <w:sz w:val="20"/>
        </w:rPr>
      </w:pPr>
      <w:r>
        <w:rPr>
          <w:rFonts w:ascii="Times New Roman;Times;serif" w:hAnsi="Times New Roman;Times;serif"/>
          <w:i/>
          <w:color w:val="000000"/>
          <w:sz w:val="20"/>
        </w:rPr>
        <w:t>(Signature Page Follows)</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22</w:t>
      </w:r>
    </w:p>
    <w:p>
      <w:pPr>
        <w:pStyle w:val="HorizontalLine"/>
        <w:pBdr>
          <w:bottom w:val="single" w:sz="12" w:space="0" w:color="808080"/>
        </w:pBdr>
        <w:bidi w:val="0"/>
        <w:spacing w:before="200" w:after="200"/>
        <w:jc w:val="left"/>
        <w:rPr/>
      </w:pPr>
      <w:r>
        <w:rPr/>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IN WITNESS WHEREOF, the Company has caused this Amended and Restated Note to be duly executed by a duly authorized officer as of the date first above indicated.</w:t>
      </w:r>
    </w:p>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24" w:name="za2900dd0a908458c918232883a0b8027"/>
      <w:bookmarkStart w:id="25" w:name="za2900dd0a908458c918232883a0b8027"/>
      <w:bookmarkEnd w:id="25"/>
    </w:p>
    <w:tbl>
      <w:tblPr>
        <w:tblW w:w="4790" w:type="dxa"/>
        <w:jc w:val="left"/>
        <w:tblInd w:w="0" w:type="dxa"/>
        <w:tblLayout w:type="fixed"/>
        <w:tblCellMar>
          <w:top w:w="0" w:type="dxa"/>
          <w:left w:w="0" w:type="dxa"/>
          <w:bottom w:w="0" w:type="dxa"/>
          <w:right w:w="0" w:type="dxa"/>
        </w:tblCellMar>
      </w:tblPr>
      <w:tblGrid>
        <w:gridCol w:w="60"/>
        <w:gridCol w:w="4730"/>
      </w:tblGrid>
      <w:tr>
        <w:trPr/>
        <w:tc>
          <w:tcPr>
            <w:tcW w:w="60" w:type="dxa"/>
            <w:tcBorders/>
            <w:vAlign w:val="center"/>
          </w:tcPr>
          <w:p>
            <w:pPr>
              <w:pStyle w:val="TableContents"/>
              <w:bidi w:val="0"/>
              <w:spacing w:before="0" w:after="283"/>
              <w:jc w:val="left"/>
              <w:rPr/>
            </w:pPr>
            <w:r>
              <w:rPr/>
              <w:t> </w:t>
            </w:r>
          </w:p>
        </w:tc>
        <w:tc>
          <w:tcPr>
            <w:tcW w:w="4730" w:type="dxa"/>
            <w:tcBorders/>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LIFEWARD LTD.</w:t>
            </w:r>
          </w:p>
        </w:tc>
      </w:tr>
      <w:tr>
        <w:trPr/>
        <w:tc>
          <w:tcPr>
            <w:tcW w:w="60" w:type="dxa"/>
            <w:tcBorders/>
            <w:vAlign w:val="center"/>
          </w:tcPr>
          <w:p>
            <w:pPr>
              <w:pStyle w:val="TableContents"/>
              <w:bidi w:val="0"/>
              <w:spacing w:before="0" w:after="283"/>
              <w:jc w:val="left"/>
              <w:rPr/>
            </w:pPr>
            <w:r>
              <w:rPr/>
              <w:t> </w:t>
            </w:r>
          </w:p>
        </w:tc>
        <w:tc>
          <w:tcPr>
            <w:tcW w:w="473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473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By:__________________________________________</w:t>
            </w:r>
          </w:p>
          <w:p>
            <w:pPr>
              <w:pStyle w:val="TableContents"/>
              <w:bidi w:val="0"/>
              <w:spacing w:lineRule="auto" w:line="300" w:before="0" w:after="0"/>
              <w:ind w:left="360" w:right="0" w:hanging="0"/>
              <w:jc w:val="left"/>
              <w:rPr>
                <w:rFonts w:ascii="Times New Roman;Times;serif" w:hAnsi="Times New Roman;Times;serif"/>
                <w:sz w:val="20"/>
              </w:rPr>
            </w:pPr>
            <w:r>
              <w:rPr>
                <w:rFonts w:ascii="Times New Roman;Times;serif" w:hAnsi="Times New Roman;Times;serif"/>
                <w:sz w:val="20"/>
              </w:rPr>
              <w:t>Name: William Mark Grant</w:t>
            </w:r>
          </w:p>
          <w:p>
            <w:pPr>
              <w:pStyle w:val="TableContents"/>
              <w:bidi w:val="0"/>
              <w:spacing w:lineRule="auto" w:line="300" w:before="0" w:after="0"/>
              <w:ind w:left="360" w:right="0" w:hanging="0"/>
              <w:jc w:val="left"/>
              <w:rPr>
                <w:rFonts w:ascii="Times New Roman;Times;serif" w:hAnsi="Times New Roman;Times;serif"/>
                <w:sz w:val="20"/>
              </w:rPr>
            </w:pPr>
            <w:r>
              <w:rPr>
                <w:rFonts w:ascii="Times New Roman;Times;serif" w:hAnsi="Times New Roman;Times;serif"/>
                <w:sz w:val="20"/>
              </w:rPr>
              <w:t>Title:   President and Chief Executive Officer</w:t>
            </w:r>
          </w:p>
        </w:tc>
      </w:tr>
    </w:tbl>
    <w:p>
      <w:pPr>
        <w:pStyle w:val="TextBody"/>
        <w:bidi w:val="0"/>
        <w:spacing w:before="0" w:after="0"/>
        <w:jc w:val="left"/>
        <w:rPr/>
      </w:pPr>
      <w:r>
        <w:rPr/>
      </w:r>
    </w:p>
    <w:p>
      <w:pPr>
        <w:pStyle w:val="TextBody"/>
        <w:bidi w:val="0"/>
        <w:spacing w:lineRule="auto" w:line="300" w:before="0" w:after="0"/>
        <w:jc w:val="center"/>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i/>
          <w:color w:val="000000"/>
          <w:sz w:val="20"/>
        </w:rPr>
        <w:t>Signature Page to A&amp;R Note (Oramed)</w:t>
      </w:r>
      <w:r>
        <w:rPr>
          <w:rFonts w:ascii="Times New Roman;Times;serif" w:hAnsi="Times New Roman;Times;serif"/>
          <w:color w:val="000000"/>
          <w:sz w:val="20"/>
        </w:rPr>
        <w:t>]</w:t>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Acknowledged and Agreed:</w:t>
      </w:r>
    </w:p>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26" w:name="z1eaff04b60ae446d80c2a026af51ab65"/>
      <w:bookmarkStart w:id="27" w:name="z1eaff04b60ae446d80c2a026af51ab65"/>
      <w:bookmarkEnd w:id="27"/>
    </w:p>
    <w:tbl>
      <w:tblPr>
        <w:tblW w:w="4760" w:type="dxa"/>
        <w:jc w:val="left"/>
        <w:tblInd w:w="0" w:type="dxa"/>
        <w:tblLayout w:type="fixed"/>
        <w:tblCellMar>
          <w:top w:w="0" w:type="dxa"/>
          <w:left w:w="0" w:type="dxa"/>
          <w:bottom w:w="0" w:type="dxa"/>
          <w:right w:w="0" w:type="dxa"/>
        </w:tblCellMar>
      </w:tblPr>
      <w:tblGrid>
        <w:gridCol w:w="4760"/>
      </w:tblGrid>
      <w:tr>
        <w:trPr/>
        <w:tc>
          <w:tcPr>
            <w:tcW w:w="4760" w:type="dxa"/>
            <w:tcBorders/>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ORAMED PHARMACEUTICALS INC.</w:t>
            </w:r>
          </w:p>
        </w:tc>
      </w:tr>
      <w:tr>
        <w:trPr/>
        <w:tc>
          <w:tcPr>
            <w:tcW w:w="4760" w:type="dxa"/>
            <w:tcBorders/>
            <w:vAlign w:val="center"/>
          </w:tcPr>
          <w:p>
            <w:pPr>
              <w:pStyle w:val="TableContents"/>
              <w:bidi w:val="0"/>
              <w:spacing w:before="0" w:after="283"/>
              <w:jc w:val="left"/>
              <w:rPr/>
            </w:pPr>
            <w:r>
              <w:rPr/>
              <w:t> </w:t>
            </w:r>
          </w:p>
        </w:tc>
      </w:tr>
      <w:tr>
        <w:trPr/>
        <w:tc>
          <w:tcPr>
            <w:tcW w:w="476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By:__________________________________________</w:t>
            </w:r>
          </w:p>
          <w:p>
            <w:pPr>
              <w:pStyle w:val="TableContents"/>
              <w:bidi w:val="0"/>
              <w:spacing w:lineRule="auto" w:line="300" w:before="0" w:after="0"/>
              <w:ind w:left="360" w:right="0" w:hanging="0"/>
              <w:jc w:val="left"/>
              <w:rPr>
                <w:rFonts w:ascii="Times New Roman;Times;serif" w:hAnsi="Times New Roman;Times;serif"/>
                <w:sz w:val="20"/>
              </w:rPr>
            </w:pPr>
            <w:r>
              <w:rPr>
                <w:rFonts w:ascii="Times New Roman;Times;serif" w:hAnsi="Times New Roman;Times;serif"/>
                <w:sz w:val="20"/>
              </w:rPr>
              <w:t>Name:</w:t>
            </w:r>
          </w:p>
          <w:p>
            <w:pPr>
              <w:pStyle w:val="TableContents"/>
              <w:bidi w:val="0"/>
              <w:spacing w:lineRule="auto" w:line="300" w:before="0" w:after="0"/>
              <w:ind w:left="360" w:right="0" w:hanging="0"/>
              <w:jc w:val="left"/>
              <w:rPr>
                <w:rFonts w:ascii="Times New Roman;Times;serif" w:hAnsi="Times New Roman;Times;serif"/>
                <w:sz w:val="20"/>
              </w:rPr>
            </w:pPr>
            <w:r>
              <w:rPr>
                <w:rFonts w:ascii="Times New Roman;Times;serif" w:hAnsi="Times New Roman;Times;serif"/>
                <w:sz w:val="20"/>
              </w:rPr>
              <w:t>Title:</w:t>
            </w:r>
          </w:p>
        </w:tc>
      </w:tr>
    </w:tbl>
    <w:p>
      <w:pPr>
        <w:pStyle w:val="TextBody"/>
        <w:bidi w:val="0"/>
        <w:spacing w:lineRule="auto" w:line="300" w:before="0" w:after="0"/>
        <w:jc w:val="left"/>
        <w:rPr/>
      </w:pPr>
      <w:r>
        <w:rPr/>
      </w:r>
    </w:p>
    <w:p>
      <w:pPr>
        <w:pStyle w:val="TextBody"/>
        <w:bidi w:val="0"/>
        <w:spacing w:lineRule="auto" w:line="300" w:before="0" w:after="0"/>
        <w:jc w:val="center"/>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i/>
          <w:color w:val="000000"/>
          <w:sz w:val="20"/>
        </w:rPr>
        <w:t>Signature Page to A&amp;R Note (Oramed)</w:t>
      </w:r>
      <w:r>
        <w:rPr>
          <w:rFonts w:ascii="Times New Roman;Times;serif" w:hAnsi="Times New Roman;Times;serif"/>
          <w:color w:val="000000"/>
          <w:sz w:val="20"/>
        </w:rPr>
        <w:t>]</w:t>
      </w:r>
    </w:p>
    <w:p>
      <w:pPr>
        <w:pStyle w:val="TextBody"/>
        <w:bidi w:val="0"/>
        <w:spacing w:lineRule="auto" w:line="300" w:before="0" w:after="0"/>
        <w:jc w:val="left"/>
        <w:rPr/>
      </w:pPr>
      <w:r>
        <w:rPr/>
      </w:r>
    </w:p>
    <w:p>
      <w:pPr>
        <w:pStyle w:val="HorizontalLine"/>
        <w:pBdr>
          <w:bottom w:val="single" w:sz="12" w:space="0" w:color="808080"/>
        </w:pBdr>
        <w:bidi w:val="0"/>
        <w:spacing w:before="200" w:after="200"/>
        <w:jc w:val="left"/>
        <w:rPr/>
      </w:pPr>
      <w:r>
        <w:rPr/>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ANNEX A</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NOTICE OF CONVERSION</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Reference is made to the Amended and Restated Senior Secured Convertible Note (the “</w:t>
      </w:r>
      <w:r>
        <w:rPr>
          <w:rFonts w:ascii="Times New Roman;Times;serif" w:hAnsi="Times New Roman;Times;serif"/>
          <w:color w:val="000000"/>
          <w:sz w:val="20"/>
          <w:u w:val="single"/>
        </w:rPr>
        <w:t>Note</w:t>
      </w:r>
      <w:r>
        <w:rPr>
          <w:rFonts w:ascii="Times New Roman;Times;serif" w:hAnsi="Times New Roman;Times;serif"/>
          <w:color w:val="000000"/>
          <w:sz w:val="20"/>
        </w:rPr>
        <w:t>”) of Lifeward Ltd., an Israeli company (the “</w:t>
      </w:r>
      <w:r>
        <w:rPr>
          <w:rFonts w:ascii="Times New Roman;Times;serif" w:hAnsi="Times New Roman;Times;serif"/>
          <w:color w:val="000000"/>
          <w:sz w:val="20"/>
          <w:u w:val="single"/>
        </w:rPr>
        <w:t>Company</w:t>
      </w:r>
      <w:r>
        <w:rPr>
          <w:rFonts w:ascii="Times New Roman;Times;serif" w:hAnsi="Times New Roman;Times;serif"/>
          <w:color w:val="000000"/>
          <w:sz w:val="20"/>
        </w:rPr>
        <w:t>”).</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The undersigned hereby elects to convert principal under the Note (</w:t>
      </w:r>
      <w:r>
        <w:rPr>
          <w:rFonts w:ascii="Times New Roman;Times;serif" w:hAnsi="Times New Roman;Times;serif"/>
          <w:i/>
          <w:color w:val="000000"/>
          <w:sz w:val="20"/>
        </w:rPr>
        <w:t>plus</w:t>
      </w:r>
      <w:r>
        <w:rPr>
          <w:rFonts w:ascii="Times New Roman;Times;serif" w:hAnsi="Times New Roman;Times;serif"/>
          <w:color w:val="000000"/>
          <w:sz w:val="20"/>
        </w:rPr>
        <w:t>, the accrued and unpaid interest thereon) into ordinary shares of the Company (the “</w:t>
      </w:r>
      <w:r>
        <w:rPr>
          <w:rFonts w:ascii="Times New Roman;Times;serif" w:hAnsi="Times New Roman;Times;serif"/>
          <w:color w:val="000000"/>
          <w:sz w:val="20"/>
          <w:u w:val="single"/>
        </w:rPr>
        <w:t>Ordinary Shares</w:t>
      </w:r>
      <w:r>
        <w:rPr>
          <w:rFonts w:ascii="Times New Roman;Times;serif" w:hAnsi="Times New Roman;Times;serif"/>
          <w:color w:val="000000"/>
          <w:sz w:val="20"/>
        </w:rPr>
        <w:t>”) according to the conditions hereof, as of the date written below.  If Ordinary Shares are to be issued in the name of a person other than the undersigned, the undersigned will pay all issue, stamp, transfer and similar taxes payable with respect thereto and is delivering herewith such certificates and opinions as reasonably requested by the Company in accordance therewith.  No fee will be charged to the holder for any conversion, except for such issue, stamp, transfer and similar taxes, if any.</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By the delivery of this Notice of Conversion the undersigned represents and warrants to the Company that its ownership of the Ordinary Shares does not exceed the amounts specified under Section 4 of this Note, as determined in accordance with Section 13(d) of the Exchange Act.</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The undersigned agrees to comply with the prospectus delivery requirements under the applicable securities laws in connection with any transfer of the aforesaid Ordinary Shares.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Conversion calculations:</w:t>
      </w:r>
    </w:p>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28" w:name="zbc1598c5a99c4e7c99ee61c4ac6beccb"/>
      <w:bookmarkStart w:id="29" w:name="zbc1598c5a99c4e7c99ee61c4ac6beccb"/>
      <w:bookmarkEnd w:id="29"/>
    </w:p>
    <w:tbl>
      <w:tblPr>
        <w:tblW w:w="4250" w:type="dxa"/>
        <w:jc w:val="left"/>
        <w:tblInd w:w="0" w:type="dxa"/>
        <w:tblLayout w:type="fixed"/>
        <w:tblCellMar>
          <w:top w:w="0" w:type="dxa"/>
          <w:left w:w="0" w:type="dxa"/>
          <w:bottom w:w="0" w:type="dxa"/>
          <w:right w:w="0" w:type="dxa"/>
        </w:tblCellMar>
      </w:tblPr>
      <w:tblGrid>
        <w:gridCol w:w="60"/>
        <w:gridCol w:w="4190"/>
      </w:tblGrid>
      <w:tr>
        <w:trPr/>
        <w:tc>
          <w:tcPr>
            <w:tcW w:w="60" w:type="dxa"/>
            <w:tcBorders/>
            <w:vAlign w:val="center"/>
          </w:tcPr>
          <w:p>
            <w:pPr>
              <w:pStyle w:val="TableContents"/>
              <w:bidi w:val="0"/>
              <w:spacing w:before="0" w:after="0"/>
              <w:jc w:val="left"/>
              <w:rPr/>
            </w:pPr>
            <w:r>
              <w:rPr/>
              <w:t> </w:t>
            </w:r>
          </w:p>
        </w:tc>
        <w:tc>
          <w:tcPr>
            <w:tcW w:w="4190"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Date to Effect Conversion:</w:t>
            </w:r>
          </w:p>
          <w:p>
            <w:pPr>
              <w:pStyle w:val="TableContents"/>
              <w:bidi w:val="0"/>
              <w:spacing w:lineRule="auto" w:line="300" w:before="0" w:after="0"/>
              <w:jc w:val="left"/>
              <w:rPr/>
            </w:pPr>
            <w:r>
              <w:rPr/>
            </w:r>
          </w:p>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Principal Amount of Note to be Converted:</w:t>
            </w:r>
          </w:p>
          <w:p>
            <w:pPr>
              <w:pStyle w:val="TableContents"/>
              <w:bidi w:val="0"/>
              <w:spacing w:lineRule="auto" w:line="300" w:before="0" w:after="0"/>
              <w:jc w:val="left"/>
              <w:rPr/>
            </w:pPr>
            <w:r>
              <w:rPr/>
            </w:r>
          </w:p>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Accrued and Unpaid Interest to be Converted:</w:t>
            </w:r>
          </w:p>
          <w:p>
            <w:pPr>
              <w:pStyle w:val="TableContents"/>
              <w:bidi w:val="0"/>
              <w:spacing w:lineRule="auto" w:line="300" w:before="0" w:after="0"/>
              <w:jc w:val="left"/>
              <w:rPr/>
            </w:pPr>
            <w:r>
              <w:rPr/>
            </w:r>
          </w:p>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Number  of Ordinary Shares to be issued:</w:t>
            </w:r>
          </w:p>
          <w:p>
            <w:pPr>
              <w:pStyle w:val="TableContents"/>
              <w:bidi w:val="0"/>
              <w:spacing w:lineRule="auto" w:line="300" w:before="0" w:after="0"/>
              <w:jc w:val="left"/>
              <w:rPr/>
            </w:pPr>
            <w:r>
              <w:rPr/>
            </w:r>
          </w:p>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Signature:</w:t>
            </w:r>
          </w:p>
          <w:p>
            <w:pPr>
              <w:pStyle w:val="TableContents"/>
              <w:bidi w:val="0"/>
              <w:spacing w:lineRule="auto" w:line="300" w:before="0" w:after="0"/>
              <w:jc w:val="left"/>
              <w:rPr/>
            </w:pPr>
            <w:r>
              <w:rPr/>
            </w:r>
          </w:p>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Name:</w:t>
            </w:r>
          </w:p>
          <w:p>
            <w:pPr>
              <w:pStyle w:val="TableContents"/>
              <w:bidi w:val="0"/>
              <w:spacing w:lineRule="auto" w:line="300" w:before="0" w:after="0"/>
              <w:jc w:val="left"/>
              <w:rPr/>
            </w:pPr>
            <w:r>
              <w:rPr/>
            </w:r>
          </w:p>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Address for Delivery of Ordinary Share Certificates:</w:t>
            </w:r>
          </w:p>
          <w:p>
            <w:pPr>
              <w:pStyle w:val="TableContents"/>
              <w:bidi w:val="0"/>
              <w:spacing w:lineRule="auto" w:line="300" w:before="0" w:after="0"/>
              <w:jc w:val="left"/>
              <w:rPr/>
            </w:pPr>
            <w:r>
              <w:rPr/>
            </w:r>
          </w:p>
          <w:p>
            <w:pPr>
              <w:pStyle w:val="TableContents"/>
              <w:bidi w:val="0"/>
              <w:spacing w:lineRule="auto" w:line="300" w:before="0" w:after="0"/>
              <w:jc w:val="both"/>
              <w:rPr>
                <w:rFonts w:ascii="Times New Roman;Times;serif" w:hAnsi="Times New Roman;Times;serif"/>
                <w:sz w:val="20"/>
                <w:u w:val="single"/>
              </w:rPr>
            </w:pPr>
            <w:r>
              <w:rPr>
                <w:rFonts w:ascii="Times New Roman;Times;serif" w:hAnsi="Times New Roman;Times;serif"/>
                <w:sz w:val="20"/>
                <w:u w:val="single"/>
              </w:rPr>
              <w:t>Or</w:t>
            </w:r>
          </w:p>
          <w:p>
            <w:pPr>
              <w:pStyle w:val="TableContents"/>
              <w:bidi w:val="0"/>
              <w:spacing w:lineRule="auto" w:line="300" w:before="0" w:after="0"/>
              <w:jc w:val="left"/>
              <w:rPr/>
            </w:pPr>
            <w:r>
              <w:rPr/>
            </w:r>
          </w:p>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DWAC Instructions:</w:t>
            </w:r>
          </w:p>
        </w:tc>
      </w:tr>
    </w:tbl>
    <w:p>
      <w:pPr>
        <w:pStyle w:val="TextBody"/>
        <w:bidi w:val="0"/>
        <w:spacing w:lineRule="auto" w:line="300" w:before="0" w:after="0"/>
        <w:jc w:val="left"/>
        <w:rPr/>
      </w:pPr>
      <w:r>
        <w:rPr/>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DTC Participant Number: </w:t>
      </w:r>
      <w:r>
        <w:rPr>
          <w:rFonts w:ascii="Times New Roman;Times;serif" w:hAnsi="Times New Roman;Times;serif"/>
          <w:color w:val="000000"/>
          <w:sz w:val="20"/>
          <w:u w:val="single"/>
        </w:rPr>
        <w:t xml:space="preserve">                                       </w:t>
      </w:r>
    </w:p>
    <w:p>
      <w:pPr>
        <w:pStyle w:val="TextBody"/>
        <w:bidi w:val="0"/>
        <w:spacing w:lineRule="auto" w:line="300" w:before="0" w:after="0"/>
        <w:jc w:val="left"/>
        <w:rPr/>
      </w:pPr>
      <w:r>
        <w:rPr/>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DTC Participant Name: </w:t>
      </w:r>
      <w:r>
        <w:rPr>
          <w:rFonts w:ascii="Times New Roman;Times;serif" w:hAnsi="Times New Roman;Times;serif"/>
          <w:color w:val="000000"/>
          <w:sz w:val="20"/>
          <w:u w:val="single"/>
        </w:rPr>
        <w:t>                                        </w:t>
      </w:r>
    </w:p>
    <w:p>
      <w:pPr>
        <w:pStyle w:val="TextBody"/>
        <w:bidi w:val="0"/>
        <w:spacing w:lineRule="auto" w:line="300" w:before="0" w:after="0"/>
        <w:jc w:val="left"/>
        <w:rPr/>
      </w:pPr>
      <w:r>
        <w:rPr/>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Account Number: </w:t>
      </w:r>
      <w:r>
        <w:rPr>
          <w:rFonts w:ascii="Times New Roman;Times;serif" w:hAnsi="Times New Roman;Times;serif"/>
          <w:color w:val="000000"/>
          <w:sz w:val="20"/>
          <w:u w:val="single"/>
        </w:rPr>
        <w:t xml:space="preserve">                                      </w:t>
      </w:r>
    </w:p>
    <w:p>
      <w:pPr>
        <w:pStyle w:val="TextBody"/>
        <w:bidi w:val="0"/>
        <w:spacing w:lineRule="auto" w:line="300" w:before="0" w:after="0"/>
        <w:jc w:val="left"/>
        <w:rPr/>
      </w:pPr>
      <w:r>
        <w:rPr/>
      </w:r>
    </w:p>
    <w:p>
      <w:pPr>
        <w:pStyle w:val="HorizontalLine"/>
        <w:bidi w:val="0"/>
        <w:jc w:val="center"/>
        <w:rPr/>
      </w:pPr>
      <w:r>
        <w:rPr/>
      </w:r>
    </w:p>
    <w:p>
      <w:pPr>
        <w:pStyle w:val="HorizontalLine"/>
        <w:bidi w:val="0"/>
        <w:jc w:val="left"/>
        <w:rPr/>
      </w:pPr>
      <w:r>
        <w:rPr/>
      </w:r>
      <w:bookmarkStart w:id="30" w:name="exhibit_4-2.htm"/>
      <w:bookmarkStart w:id="31" w:name="ksexhibit_42"/>
      <w:bookmarkStart w:id="32" w:name="exhibit_4-2.htm"/>
      <w:bookmarkStart w:id="33" w:name="ksexhibit_42"/>
      <w:bookmarkEnd w:id="32"/>
      <w:bookmarkEnd w:id="33"/>
      <w:r>
        <w:br w:type="page"/>
      </w:r>
    </w:p>
    <w:p>
      <w:pPr>
        <w:pStyle w:val="TextBody"/>
        <w:bidi w:val="0"/>
        <w:spacing w:before="0" w:after="0"/>
        <w:jc w:val="right"/>
        <w:rPr>
          <w:rFonts w:ascii="Times New Roman;Times;serif" w:hAnsi="Times New Roman;Times;serif"/>
          <w:b/>
          <w:color w:val="000000"/>
          <w:sz w:val="20"/>
          <w:u w:val="single"/>
        </w:rPr>
      </w:pPr>
      <w:r>
        <w:rPr>
          <w:rFonts w:ascii="Times New Roman;Times;serif" w:hAnsi="Times New Roman;Times;serif"/>
          <w:b/>
          <w:color w:val="000000"/>
          <w:sz w:val="20"/>
          <w:u w:val="single"/>
        </w:rPr>
        <w:t>Exhibit 4.2</w:t>
      </w:r>
    </w:p>
    <w:p>
      <w:pPr>
        <w:pStyle w:val="TextBody"/>
        <w:bidi w:val="0"/>
        <w:spacing w:before="0" w:after="0"/>
        <w:jc w:val="left"/>
        <w:rPr/>
      </w:pPr>
      <w:r>
        <w:rPr/>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NEITHER THIS SECURITY NOR THE SECURITIES FOR WHICH THIS SECURITY IS EXERCISABLE HAVE BEEN REGISTERED WITH THE SECURITIES AND EXCHANGE COMMISSION OR THE SECURITIES COMMISSION OF ANY STATE IN RELIANCE UPON AN EXEMPTION FROM REGISTRATION UNDER THE SECURITIES ACT OF 1933, AS AMENDED (THE “SECURITIES ACT”),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  THIS SECURITY AND THE SECURITIES ISSUABLE UPON EXERCISE OF THIS SECURITY MAY BE PLEDGED IN CONNECTION WITH A BONA FIDE MARGIN ACCOUNT OR OTHER LOAN SECURED BY SUCH SECURITIES.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AMENDED AND RESTATED ORDINARY SHARE PURCHASE WARRANT</w:t>
      </w:r>
    </w:p>
    <w:p>
      <w:pPr>
        <w:pStyle w:val="TextBody"/>
        <w:bidi w:val="0"/>
        <w:spacing w:lineRule="auto" w:line="300" w:before="0" w:after="0"/>
        <w:jc w:val="left"/>
        <w:rPr/>
      </w:pPr>
      <w:r>
        <w:rPr/>
      </w:r>
    </w:p>
    <w:p>
      <w:pPr>
        <w:pStyle w:val="TextBody"/>
        <w:bidi w:val="0"/>
        <w:spacing w:lineRule="auto" w:line="300" w:before="0" w:after="0"/>
        <w:jc w:val="center"/>
        <w:rPr>
          <w:color w:val="000000"/>
        </w:rPr>
      </w:pPr>
      <w:r>
        <w:rPr>
          <w:color w:val="000000"/>
        </w:rPr>
        <w:t> </w:t>
      </w:r>
      <w:r>
        <w:rPr>
          <w:rFonts w:ascii="Times New Roman;Times;serif" w:hAnsi="Times New Roman;Times;serif"/>
          <w:b/>
          <w:color w:val="000000"/>
          <w:sz w:val="20"/>
        </w:rPr>
        <w:t>LIFEWARD LTD.</w:t>
      </w:r>
    </w:p>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34" w:name="z8f50e2945fb64a0bb5efa6df0e98ecb3"/>
      <w:bookmarkStart w:id="35" w:name="z8f50e2945fb64a0bb5efa6df0e98ecb3"/>
      <w:bookmarkEnd w:id="35"/>
    </w:p>
    <w:tbl>
      <w:tblPr>
        <w:tblW w:w="5020" w:type="dxa"/>
        <w:jc w:val="left"/>
        <w:tblInd w:w="0" w:type="dxa"/>
        <w:tblLayout w:type="fixed"/>
        <w:tblCellMar>
          <w:top w:w="0" w:type="dxa"/>
          <w:left w:w="0" w:type="dxa"/>
          <w:bottom w:w="0" w:type="dxa"/>
          <w:right w:w="0" w:type="dxa"/>
        </w:tblCellMar>
      </w:tblPr>
      <w:tblGrid>
        <w:gridCol w:w="2390"/>
        <w:gridCol w:w="2630"/>
      </w:tblGrid>
      <w:tr>
        <w:trPr/>
        <w:tc>
          <w:tcPr>
            <w:tcW w:w="239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Warrant Shares: __________</w:t>
            </w:r>
          </w:p>
        </w:tc>
        <w:tc>
          <w:tcPr>
            <w:tcW w:w="26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Initial Exercise Date: [_______]</w:t>
            </w:r>
          </w:p>
        </w:tc>
      </w:tr>
    </w:tbl>
    <w:p>
      <w:pPr>
        <w:pStyle w:val="TextBody"/>
        <w:bidi w:val="0"/>
        <w:spacing w:lineRule="auto" w:line="300" w:before="0" w:after="0"/>
        <w:jc w:val="left"/>
        <w:rPr/>
      </w:pPr>
      <w:r>
        <w:rPr/>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THIS AMENDED AND RESTATED ORDINARY SHARE PURCHASE WARRANT (the “</w:t>
      </w:r>
      <w:r>
        <w:rPr>
          <w:rFonts w:ascii="Times New Roman;Times;serif" w:hAnsi="Times New Roman;Times;serif"/>
          <w:color w:val="000000"/>
          <w:sz w:val="20"/>
          <w:u w:val="single"/>
        </w:rPr>
        <w:t>Warrant</w:t>
      </w:r>
      <w:r>
        <w:rPr>
          <w:rFonts w:ascii="Times New Roman;Times;serif" w:hAnsi="Times New Roman;Times;serif"/>
          <w:color w:val="000000"/>
          <w:sz w:val="20"/>
        </w:rPr>
        <w:t>”) certifies that, for value received, [________] or its assigns (the “</w:t>
      </w:r>
      <w:r>
        <w:rPr>
          <w:rFonts w:ascii="Times New Roman;Times;serif" w:hAnsi="Times New Roman;Times;serif"/>
          <w:color w:val="000000"/>
          <w:sz w:val="20"/>
          <w:u w:val="single"/>
        </w:rPr>
        <w:t>Holder</w:t>
      </w:r>
      <w:r>
        <w:rPr>
          <w:rFonts w:ascii="Times New Roman;Times;serif" w:hAnsi="Times New Roman;Times;serif"/>
          <w:color w:val="000000"/>
          <w:sz w:val="20"/>
        </w:rPr>
        <w:t>”) is entitled, upon the terms and subject to the limitations on exercise and the conditions hereinafter set forth, at any time on or after the date set forth above (the “</w:t>
      </w:r>
      <w:r>
        <w:rPr>
          <w:rFonts w:ascii="Times New Roman;Times;serif" w:hAnsi="Times New Roman;Times;serif"/>
          <w:color w:val="000000"/>
          <w:sz w:val="20"/>
          <w:u w:val="single"/>
        </w:rPr>
        <w:t>Initial Exercise Date</w:t>
      </w:r>
      <w:r>
        <w:rPr>
          <w:rFonts w:ascii="Times New Roman;Times;serif" w:hAnsi="Times New Roman;Times;serif"/>
          <w:color w:val="000000"/>
          <w:sz w:val="20"/>
        </w:rPr>
        <w:t>”) and on or prior to 5:00 p.m. (New York City time) on [__________] (the “</w:t>
      </w:r>
      <w:r>
        <w:rPr>
          <w:rFonts w:ascii="Times New Roman;Times;serif" w:hAnsi="Times New Roman;Times;serif"/>
          <w:color w:val="000000"/>
          <w:sz w:val="20"/>
          <w:u w:val="single"/>
        </w:rPr>
        <w:t>Termination Date</w:t>
      </w:r>
      <w:r>
        <w:rPr>
          <w:rFonts w:ascii="Times New Roman;Times;serif" w:hAnsi="Times New Roman;Times;serif"/>
          <w:color w:val="000000"/>
          <w:sz w:val="20"/>
        </w:rPr>
        <w:t>”) but not thereafter, to subscribe for and purchase from Lifeward Ltd., an Israeli company (the “</w:t>
      </w:r>
      <w:r>
        <w:rPr>
          <w:rFonts w:ascii="Times New Roman;Times;serif" w:hAnsi="Times New Roman;Times;serif"/>
          <w:color w:val="000000"/>
          <w:sz w:val="20"/>
          <w:u w:val="single"/>
        </w:rPr>
        <w:t>Company</w:t>
      </w:r>
      <w:r>
        <w:rPr>
          <w:rFonts w:ascii="Times New Roman;Times;serif" w:hAnsi="Times New Roman;Times;serif"/>
          <w:color w:val="000000"/>
          <w:sz w:val="20"/>
        </w:rPr>
        <w:t>”), up to [_____] shares (as subject to adjustment hereunder, the “</w:t>
      </w:r>
      <w:r>
        <w:rPr>
          <w:rFonts w:ascii="Times New Roman;Times;serif" w:hAnsi="Times New Roman;Times;serif"/>
          <w:color w:val="000000"/>
          <w:sz w:val="20"/>
          <w:u w:val="single"/>
        </w:rPr>
        <w:t>Warrant Shares</w:t>
      </w:r>
      <w:r>
        <w:rPr>
          <w:rFonts w:ascii="Times New Roman;Times;serif" w:hAnsi="Times New Roman;Times;serif"/>
          <w:color w:val="000000"/>
          <w:sz w:val="20"/>
        </w:rPr>
        <w:t>”) of the Company’s Ordinary Shares.  The purchase price of one Ordinary Share under this Warrant shall be equal to the Exercise Price, as defined in Section 2(b).</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u w:val="single"/>
        </w:rPr>
        <w:t>Section 1</w:t>
      </w:r>
      <w:r>
        <w:rPr>
          <w:rFonts w:ascii="Times New Roman;Times;serif" w:hAnsi="Times New Roman;Times;serif"/>
          <w:color w:val="000000"/>
          <w:sz w:val="20"/>
        </w:rPr>
        <w:t xml:space="preserve">.         </w:t>
      </w:r>
      <w:r>
        <w:rPr>
          <w:rFonts w:ascii="Times New Roman;Times;serif" w:hAnsi="Times New Roman;Times;serif"/>
          <w:color w:val="000000"/>
          <w:sz w:val="20"/>
          <w:u w:val="single"/>
        </w:rPr>
        <w:t>Definitions</w:t>
      </w:r>
      <w:r>
        <w:rPr>
          <w:rFonts w:ascii="Times New Roman;Times;serif" w:hAnsi="Times New Roman;Times;serif"/>
          <w:color w:val="000000"/>
          <w:sz w:val="20"/>
        </w:rPr>
        <w:t>.  Capitalized terms used and not otherwise defined herein shall have the meanings set forth in that certain Securities Purchase Agreement (the “</w:t>
      </w:r>
      <w:r>
        <w:rPr>
          <w:rFonts w:ascii="Times New Roman;Times;serif" w:hAnsi="Times New Roman;Times;serif"/>
          <w:color w:val="000000"/>
          <w:sz w:val="20"/>
          <w:u w:val="single"/>
        </w:rPr>
        <w:t>Purchase Agreement</w:t>
      </w:r>
      <w:r>
        <w:rPr>
          <w:rFonts w:ascii="Times New Roman;Times;serif" w:hAnsi="Times New Roman;Times;serif"/>
          <w:color w:val="000000"/>
          <w:sz w:val="20"/>
        </w:rPr>
        <w:t>”), dated January 12, 2026, among the Company and the purchasers signatory thereto.</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u w:val="single"/>
        </w:rPr>
        <w:t>Section 2</w:t>
      </w:r>
      <w:r>
        <w:rPr>
          <w:rFonts w:ascii="Times New Roman;Times;serif" w:hAnsi="Times New Roman;Times;serif"/>
          <w:color w:val="000000"/>
          <w:sz w:val="20"/>
        </w:rPr>
        <w:t>.          </w:t>
      </w:r>
      <w:r>
        <w:rPr>
          <w:rFonts w:ascii="Times New Roman;Times;serif" w:hAnsi="Times New Roman;Times;serif"/>
          <w:color w:val="000000"/>
          <w:sz w:val="20"/>
          <w:u w:val="single"/>
        </w:rPr>
        <w:t>Exercise</w:t>
      </w:r>
      <w:r>
        <w:rPr>
          <w:rFonts w:ascii="Times New Roman;Times;serif" w:hAnsi="Times New Roman;Times;serif"/>
          <w:color w:val="000000"/>
          <w:sz w:val="20"/>
        </w:rPr>
        <w:t>.</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 xml:space="preserve">a)         </w:t>
      </w:r>
      <w:r>
        <w:rPr>
          <w:rFonts w:ascii="Times New Roman;Times;serif" w:hAnsi="Times New Roman;Times;serif"/>
          <w:color w:val="000000"/>
          <w:sz w:val="20"/>
          <w:u w:val="single"/>
        </w:rPr>
        <w:t>Exercise of Warrant</w:t>
      </w:r>
      <w:r>
        <w:rPr>
          <w:rFonts w:ascii="Times New Roman;Times;serif" w:hAnsi="Times New Roman;Times;serif"/>
          <w:color w:val="000000"/>
          <w:sz w:val="20"/>
        </w:rPr>
        <w:t>.  Exercise of the purchase rights represented by this Warrant may be made, in whole or in part, at any time or times on or after the Initial Exercise Date and on or before the Termination Date by delivery to the Company of a duly executed PDF copy submitted by e-mail (or e-mail attachment) of the Notice of Exercise in the form annexed hereto (the “</w:t>
      </w:r>
      <w:r>
        <w:rPr>
          <w:rFonts w:ascii="Times New Roman;Times;serif" w:hAnsi="Times New Roman;Times;serif"/>
          <w:color w:val="000000"/>
          <w:sz w:val="20"/>
          <w:u w:val="single"/>
        </w:rPr>
        <w:t>Notice of Exercise</w:t>
      </w:r>
      <w:r>
        <w:rPr>
          <w:rFonts w:ascii="Times New Roman;Times;serif" w:hAnsi="Times New Roman;Times;serif"/>
          <w:color w:val="000000"/>
          <w:sz w:val="20"/>
        </w:rPr>
        <w:t xml:space="preserve">”).  Within the earlier of (i) one (1) Trading Day and (ii) the number of Trading Days comprising the Standard Settlement Period (as defined in Section 2(d)(i) herein), in each case following the date of exercise as aforesaid, the Holder shall deliver the aggregate Exercise Price for the Warrant Shares specified in the applicable Notice of Exercise by wire transfer or cashier’s check drawn on a United States bank unless the cashless exercise procedure specified in Section 2(c) below is specified in the applicable Notice of Exercise.  No ink-original Notice of Exercise shall be required, nor shall any medallion guarantee (or other type of guarantee or notarization) of any Notice of Exercise be required.  Notwithstanding anything herein to the contrary, the Holder shall not be required to physically surrender this Warrant to the Company until the Holder has purchased all of the Warrant Shares available hereunder and the Warrant has been exercised in full, in which case, the Holder shall surrender this Warrant to the Company for cancellation as soon as reasonably practicable following the date on which the final Notice of Exercise is delivered to the Company.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 the Company shall maintain records showing the number of Warrant Shares purchased and the date of such purchases.  The Company shall deliver any objection to any Notice of Exercise within one (1) Trading Day of receipt of such notice.  </w:t>
      </w:r>
      <w:r>
        <w:rPr>
          <w:rFonts w:ascii="Times New Roman;Times;serif" w:hAnsi="Times New Roman;Times;serif"/>
          <w:b/>
          <w:color w:val="000000"/>
          <w:sz w:val="20"/>
        </w:rPr>
        <w:t>The Holder and any assignee, by acceptance of this Warrant, acknowledge and agree that, by reason of the provisions of this paragraph, following the purchase of a portion of the Warrant Shares hereunder, the number of Warrant Shares available for purchase hereunder at any given time may be less than the amount stated on the face hereof.</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b)          </w:t>
      </w:r>
      <w:r>
        <w:rPr>
          <w:rFonts w:ascii="Times New Roman;Times;serif" w:hAnsi="Times New Roman;Times;serif"/>
          <w:color w:val="000000"/>
          <w:sz w:val="20"/>
          <w:u w:val="single"/>
        </w:rPr>
        <w:t>Exercise Price</w:t>
      </w:r>
      <w:r>
        <w:rPr>
          <w:rFonts w:ascii="Times New Roman;Times;serif" w:hAnsi="Times New Roman;Times;serif"/>
          <w:color w:val="000000"/>
          <w:sz w:val="20"/>
        </w:rPr>
        <w:t xml:space="preserve">.  The exercise price per Ordinary Share under this Warrant shall be </w:t>
      </w:r>
      <w:r>
        <w:rPr>
          <w:rFonts w:ascii="Times New Roman;Times;serif" w:hAnsi="Times New Roman;Times;serif"/>
          <w:b/>
          <w:color w:val="000000"/>
          <w:sz w:val="20"/>
        </w:rPr>
        <w:t>$5.40</w:t>
      </w:r>
      <w:r>
        <w:rPr>
          <w:rFonts w:ascii="Times New Roman;Times;serif" w:hAnsi="Times New Roman;Times;serif"/>
          <w:color w:val="000000"/>
          <w:sz w:val="20"/>
        </w:rPr>
        <w:t>, subject to adjustment hereunder (the “</w:t>
      </w:r>
      <w:r>
        <w:rPr>
          <w:rFonts w:ascii="Times New Roman;Times;serif" w:hAnsi="Times New Roman;Times;serif"/>
          <w:color w:val="000000"/>
          <w:sz w:val="20"/>
          <w:u w:val="single"/>
        </w:rPr>
        <w:t>Exercise Price</w:t>
      </w:r>
      <w:r>
        <w:rPr>
          <w:rFonts w:ascii="Times New Roman;Times;serif" w:hAnsi="Times New Roman;Times;serif"/>
          <w:color w:val="000000"/>
          <w:sz w:val="20"/>
        </w:rPr>
        <w:t>”).</w:t>
      </w:r>
    </w:p>
    <w:p>
      <w:pPr>
        <w:pStyle w:val="TextBody"/>
        <w:bidi w:val="0"/>
        <w:spacing w:lineRule="auto" w:line="300"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lineRule="auto" w:line="300"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c)          </w:t>
      </w:r>
      <w:r>
        <w:rPr>
          <w:rFonts w:ascii="Times New Roman;Times;serif" w:hAnsi="Times New Roman;Times;serif"/>
          <w:color w:val="000000"/>
          <w:sz w:val="20"/>
          <w:u w:val="single"/>
        </w:rPr>
        <w:t>Cashless Exercise</w:t>
      </w:r>
      <w:r>
        <w:rPr>
          <w:rFonts w:ascii="Times New Roman;Times;serif" w:hAnsi="Times New Roman;Times;serif"/>
          <w:color w:val="000000"/>
          <w:sz w:val="20"/>
        </w:rPr>
        <w:t>.  If at the time of exercise hereof there is no effective registration statement registering, or the prospectus contained therein is not available for the resale of the Warrant Shares by the Holder, then this Warrant may also be exercised, in whole or in part, at such time by means of a “cashless exercise” in which the Holder shall be entitled to receive a number of Warrant Shares equal to the quotient obtained by dividing [(A-B) (X)] by (A), where:</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2070" w:right="0" w:hanging="630"/>
        <w:jc w:val="both"/>
        <w:rPr>
          <w:rFonts w:ascii="Times New Roman;Times;serif" w:hAnsi="Times New Roman;Times;serif"/>
          <w:color w:val="000000"/>
          <w:sz w:val="20"/>
        </w:rPr>
      </w:pPr>
      <w:r>
        <w:rPr>
          <w:rFonts w:ascii="Times New Roman;Times;serif" w:hAnsi="Times New Roman;Times;serif"/>
          <w:color w:val="000000"/>
          <w:sz w:val="20"/>
        </w:rPr>
        <w:t>(A) = as applicable: (i) the VWAP on the Trading Day immediately preceding the date of the applicable Notice of Exercise if such Notice of Exercise is (1) both executed and delivered pursuant to Section 2(a) hereof on a day that is not a Trading Day or (2) both executed and delivered pursuant to Section 2(a) hereof on a Trading Day prior to the opening of “regular trading hours” (as defined in Rule 600(b) of Regulation NMS promulgated under the federal securities laws) on such Trading Day, (ii) at the option of the Holder, either (y) the VWAP on the Trading Day immediately preceding the date of the applicable Notice of Exercise or (z) the Bid Price of the Ordinary Shares on the principal Trading Market as reported by Bloomberg L.P. (“</w:t>
      </w:r>
      <w:r>
        <w:rPr>
          <w:rFonts w:ascii="Times New Roman;Times;serif" w:hAnsi="Times New Roman;Times;serif"/>
          <w:color w:val="000000"/>
          <w:sz w:val="20"/>
          <w:u w:val="single"/>
        </w:rPr>
        <w:t>Bloomberg</w:t>
      </w:r>
      <w:r>
        <w:rPr>
          <w:rFonts w:ascii="Times New Roman;Times;serif" w:hAnsi="Times New Roman;Times;serif"/>
          <w:color w:val="000000"/>
          <w:sz w:val="20"/>
        </w:rPr>
        <w:t>”) as of the time of the Holder’s execution of the applicable Notice of Exercise if such Notice of Exercise is executed during “regular trading hours” on a Trading Day and is delivered within two (2) hours thereafter (including until two (2) hours after the close of “regular trading hours” on a Trading Day) pursuant to Section 2(a) hereof or (iii) the VWAP on the date of the applicable Notice of Exercise if the date of such Notice of Exercise is a Trading Day and such Notice of Exercise is both executed and delivered pursuant to Section 2(a) hereof after the close of “regular trading hours” on such Trading Day;</w:t>
      </w:r>
    </w:p>
    <w:p>
      <w:pPr>
        <w:pStyle w:val="TextBody"/>
        <w:bidi w:val="0"/>
        <w:spacing w:lineRule="auto" w:line="300" w:before="0" w:after="0"/>
        <w:ind w:left="2070" w:right="0" w:hanging="630"/>
        <w:jc w:val="both"/>
        <w:rPr>
          <w:rFonts w:ascii="Times New Roman;Times;serif" w:hAnsi="Times New Roman;Times;serif"/>
          <w:sz w:val="20"/>
        </w:rPr>
      </w:pPr>
      <w:r>
        <w:rPr>
          <w:rFonts w:ascii="Times New Roman;Times;serif" w:hAnsi="Times New Roman;Times;serif"/>
          <w:sz w:val="20"/>
        </w:rPr>
      </w:r>
    </w:p>
    <w:p>
      <w:pPr>
        <w:pStyle w:val="TextBody"/>
        <w:bidi w:val="0"/>
        <w:spacing w:lineRule="auto" w:line="300" w:before="0" w:after="0"/>
        <w:ind w:left="2160" w:right="0" w:hanging="720"/>
        <w:jc w:val="both"/>
        <w:rPr>
          <w:rFonts w:ascii="Times New Roman;Times;serif" w:hAnsi="Times New Roman;Times;serif"/>
          <w:color w:val="000000"/>
          <w:sz w:val="20"/>
        </w:rPr>
      </w:pPr>
      <w:r>
        <w:rPr>
          <w:rFonts w:ascii="Times New Roman;Times;serif" w:hAnsi="Times New Roman;Times;serif"/>
          <w:color w:val="000000"/>
          <w:sz w:val="20"/>
        </w:rPr>
        <w:t>(B) = the Exercise Price of this Warrant, as adjusted hereunder; and</w:t>
      </w:r>
    </w:p>
    <w:p>
      <w:pPr>
        <w:pStyle w:val="TextBody"/>
        <w:bidi w:val="0"/>
        <w:spacing w:lineRule="auto" w:line="300" w:before="0" w:after="0"/>
        <w:jc w:val="left"/>
        <w:rPr/>
      </w:pPr>
      <w:r>
        <w:rPr/>
      </w:r>
    </w:p>
    <w:p>
      <w:pPr>
        <w:pStyle w:val="TextBody"/>
        <w:bidi w:val="0"/>
        <w:spacing w:lineRule="auto" w:line="300" w:before="0" w:after="0"/>
        <w:ind w:left="2070" w:right="0" w:hanging="630"/>
        <w:jc w:val="both"/>
        <w:rPr>
          <w:rFonts w:ascii="Times New Roman;Times;serif" w:hAnsi="Times New Roman;Times;serif"/>
          <w:color w:val="000000"/>
          <w:sz w:val="20"/>
        </w:rPr>
      </w:pPr>
      <w:r>
        <w:rPr>
          <w:rFonts w:ascii="Times New Roman;Times;serif" w:hAnsi="Times New Roman;Times;serif"/>
          <w:color w:val="000000"/>
          <w:sz w:val="20"/>
        </w:rPr>
        <w:t>(X) = the number of Warrant Shares that would be issuable upon exercise of this Warrant in accordance with the terms of this Warrant if such exercise were by means of a cash exercise rather than a cashless exercise.</w:t>
      </w:r>
    </w:p>
    <w:p>
      <w:pPr>
        <w:pStyle w:val="TextBody"/>
        <w:bidi w:val="0"/>
        <w:spacing w:lineRule="auto" w:line="300" w:before="0" w:after="0"/>
        <w:jc w:val="left"/>
        <w:rPr/>
      </w:pPr>
      <w:r>
        <w:rPr/>
      </w:r>
    </w:p>
    <w:p>
      <w:pPr>
        <w:pStyle w:val="TextBody"/>
        <w:bidi w:val="0"/>
        <w:spacing w:lineRule="auto" w:line="300" w:before="0" w:after="0"/>
        <w:ind w:left="720" w:right="0" w:firstLine="720"/>
        <w:jc w:val="both"/>
        <w:rPr>
          <w:color w:val="000000"/>
        </w:rPr>
      </w:pPr>
      <w:r>
        <w:rPr>
          <w:color w:val="000000"/>
        </w:rPr>
        <w:t>“</w:t>
      </w:r>
      <w:r>
        <w:rPr>
          <w:rFonts w:ascii="Times New Roman;Times;serif" w:hAnsi="Times New Roman;Times;serif"/>
          <w:color w:val="000000"/>
          <w:sz w:val="20"/>
          <w:u w:val="single"/>
        </w:rPr>
        <w:t>Bid Price</w:t>
      </w:r>
      <w:r>
        <w:rPr>
          <w:rFonts w:ascii="Times New Roman;Times;serif" w:hAnsi="Times New Roman;Times;serif"/>
          <w:color w:val="000000"/>
          <w:sz w:val="20"/>
        </w:rPr>
        <w:t>” means, for any date, the price determined by the first of the following clauses that applies: (a) if the Ordinary Shares are then listed or quoted on a Trading Market, the bid price of the Ordinary Shares for the time in question (or the nearest preceding date) on the Trading Market on which the Ordinary Shares are then listed or quoted as reported by Bloomberg (based on a Trading Day from 9:30 a.m. (New York City time) to 4:02 p.m. (New York City time)), (b)  if OTCQB Venture Market (“</w:t>
      </w:r>
      <w:r>
        <w:rPr>
          <w:rFonts w:ascii="Times New Roman;Times;serif" w:hAnsi="Times New Roman;Times;serif"/>
          <w:color w:val="000000"/>
          <w:sz w:val="20"/>
          <w:u w:val="single"/>
        </w:rPr>
        <w:t>OTCQB</w:t>
      </w:r>
      <w:r>
        <w:rPr>
          <w:rFonts w:ascii="Times New Roman;Times;serif" w:hAnsi="Times New Roman;Times;serif"/>
          <w:color w:val="000000"/>
          <w:sz w:val="20"/>
        </w:rPr>
        <w:t>”) or the OTCQX Best Market (“</w:t>
      </w:r>
      <w:r>
        <w:rPr>
          <w:rFonts w:ascii="Times New Roman;Times;serif" w:hAnsi="Times New Roman;Times;serif"/>
          <w:color w:val="000000"/>
          <w:sz w:val="20"/>
          <w:u w:val="single"/>
        </w:rPr>
        <w:t>OTCQX</w:t>
      </w:r>
      <w:r>
        <w:rPr>
          <w:rFonts w:ascii="Times New Roman;Times;serif" w:hAnsi="Times New Roman;Times;serif"/>
          <w:color w:val="000000"/>
          <w:sz w:val="20"/>
        </w:rPr>
        <w:t>”) is not a Trading Market, the volume weighted average price of the Ordinary Shares for such date (or the nearest preceding date) on OTCQB or OTCQX as applicable, (c) if the Ordinary Shares are not then listed or quoted for trading on OTCQB or OTCQX and if prices for the Ordinary Shares are then reported on the Pink Open Market (“</w:t>
      </w:r>
      <w:r>
        <w:rPr>
          <w:rFonts w:ascii="Times New Roman;Times;serif" w:hAnsi="Times New Roman;Times;serif"/>
          <w:color w:val="000000"/>
          <w:sz w:val="20"/>
          <w:u w:val="single"/>
        </w:rPr>
        <w:t>Pink Market</w:t>
      </w:r>
      <w:r>
        <w:rPr>
          <w:rFonts w:ascii="Times New Roman;Times;serif" w:hAnsi="Times New Roman;Times;serif"/>
          <w:color w:val="000000"/>
          <w:sz w:val="20"/>
        </w:rPr>
        <w:t>”) operated by the OTC Markets, Inc. (or a similar organization or agency succeeding to its functions of reporting prices), the most recent bid price per Ordinary Share so reported, or (d) in all other cases, the fair market value of an Ordinary Share as determined by an independent appraiser selected in good faith by the Holders of a majority in interest of the Securities then outstanding and reasonably acceptable to the Company, the fees and expenses of which shall be paid by the Company.</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color w:val="000000"/>
        </w:rPr>
      </w:pPr>
      <w:r>
        <w:rPr>
          <w:color w:val="000000"/>
        </w:rPr>
        <w:t>“</w:t>
      </w:r>
      <w:r>
        <w:rPr>
          <w:rFonts w:ascii="Times New Roman;Times;serif" w:hAnsi="Times New Roman;Times;serif"/>
          <w:color w:val="000000"/>
          <w:sz w:val="20"/>
          <w:u w:val="single"/>
        </w:rPr>
        <w:t>VWAP</w:t>
      </w:r>
      <w:r>
        <w:rPr>
          <w:rFonts w:ascii="Times New Roman;Times;serif" w:hAnsi="Times New Roman;Times;serif"/>
          <w:color w:val="000000"/>
          <w:sz w:val="20"/>
        </w:rPr>
        <w:t>” means, for any date, the price determined by the first of the following clauses that applies: (a) if the Ordinary Shares are then listed or quoted on a Trading Market, the daily volume weighted average price of the Ordinary Shares for such date (or the nearest preceding date) on the Trading Market on which the Ordinary Shares are then listed or quoted as reported by Bloomberg (based on a Trading Day from 9:30 a.m. (New York City time) to 4:02 p.m. (New York City time)), (b)  if OTCQB or OTCQX is not a Trading Market, the volume weighted average price of the Ordinary Shares for such date (or the nearest preceding date) on OTCQB or OTCQX as applicable, (c) if the Ordinary Shares are not then listed or quoted for trading on OTCQB or OTCQX and if prices for the Ordinary Shares are then reported on the Pink Market operated by the OTC Markets, Inc. (or a similar organization or agency succeeding to its functions of reporting prices), the most recent bid price per Ordinary Share so reported, or (d) in all other cases, the fair market value of an Ordinary Share as determined by an independent appraiser selected in good faith by the Holders of a majority in interest of the Securities then outstanding and reasonably acceptable to the Company, the fees and expenses of which shall be paid by the Company.</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If Warrant Shares are issued in such a cashless exercise, the parties acknowledge and agree that in accordance with Section 3(a)(9) of the Securities Act, the holding period of the Warrant Shares being issued may be tacked on to the holding period of this Warrant.  The Company agrees not to take any position contrary to this Section 2(c).</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36" w:name="zdd0fad897d454de39af496b8f4accfe5"/>
      <w:bookmarkStart w:id="37" w:name="zdd0fad897d454de39af496b8f4accfe5"/>
      <w:bookmarkEnd w:id="37"/>
    </w:p>
    <w:tbl>
      <w:tblPr>
        <w:tblW w:w="2133" w:type="dxa"/>
        <w:jc w:val="left"/>
        <w:tblInd w:w="0" w:type="dxa"/>
        <w:tblLayout w:type="fixed"/>
        <w:tblCellMar>
          <w:top w:w="0" w:type="dxa"/>
          <w:left w:w="0" w:type="dxa"/>
          <w:bottom w:w="0" w:type="dxa"/>
          <w:right w:w="0" w:type="dxa"/>
        </w:tblCellMar>
      </w:tblPr>
      <w:tblGrid>
        <w:gridCol w:w="38"/>
        <w:gridCol w:w="185"/>
        <w:gridCol w:w="1910"/>
      </w:tblGrid>
      <w:tr>
        <w:trPr/>
        <w:tc>
          <w:tcPr>
            <w:tcW w:w="38" w:type="dxa"/>
            <w:tcBorders/>
            <w:vAlign w:val="center"/>
          </w:tcPr>
          <w:p>
            <w:pPr>
              <w:pStyle w:val="TableContents"/>
              <w:bidi w:val="0"/>
              <w:spacing w:before="0" w:after="283"/>
              <w:jc w:val="left"/>
              <w:rPr/>
            </w:pPr>
            <w:r>
              <w:rPr/>
            </w:r>
          </w:p>
        </w:tc>
        <w:tc>
          <w:tcPr>
            <w:tcW w:w="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191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u w:val="single"/>
              </w:rPr>
              <w:t>Mechanics of Exercise</w:t>
            </w:r>
            <w:r>
              <w:rPr>
                <w:rFonts w:ascii="Times New Roman;Times;serif" w:hAnsi="Times New Roman;Times;serif"/>
                <w:sz w:val="20"/>
              </w:rPr>
              <w:t>.</w:t>
            </w:r>
          </w:p>
        </w:tc>
      </w:tr>
    </w:tbl>
    <w:p>
      <w:pPr>
        <w:pStyle w:val="TextBody"/>
        <w:bidi w:val="0"/>
        <w:spacing w:lineRule="auto" w:line="300" w:before="0" w:after="0"/>
        <w:jc w:val="left"/>
        <w:rPr>
          <w:color w:val="000000"/>
        </w:rPr>
      </w:pPr>
      <w:r>
        <w:rPr>
          <w:color w:val="000000"/>
        </w:rPr>
        <w:t> </w:t>
      </w:r>
    </w:p>
    <w:p>
      <w:pPr>
        <w:pStyle w:val="TextBody"/>
        <w:bidi w:val="0"/>
        <w:spacing w:lineRule="auto" w:line="240" w:before="0" w:after="0"/>
        <w:ind w:left="2160" w:right="0" w:firstLine="720"/>
        <w:jc w:val="both"/>
        <w:rPr>
          <w:rFonts w:ascii="Times New Roman;Times;serif" w:hAnsi="Times New Roman;Times;serif"/>
          <w:color w:val="000000"/>
          <w:sz w:val="20"/>
        </w:rPr>
      </w:pPr>
      <w:r>
        <w:rPr>
          <w:rFonts w:ascii="Times New Roman;Times;serif" w:hAnsi="Times New Roman;Times;serif"/>
          <w:color w:val="000000"/>
          <w:sz w:val="20"/>
        </w:rPr>
        <w:t>i.          </w:t>
      </w:r>
      <w:r>
        <w:rPr>
          <w:rFonts w:ascii="Times New Roman;Times;serif" w:hAnsi="Times New Roman;Times;serif"/>
          <w:color w:val="000000"/>
          <w:sz w:val="20"/>
          <w:u w:val="single"/>
        </w:rPr>
        <w:t>Delivery of Warrant Shares Upon Exercise</w:t>
      </w:r>
      <w:r>
        <w:rPr>
          <w:rFonts w:ascii="Times New Roman;Times;serif" w:hAnsi="Times New Roman;Times;serif"/>
          <w:color w:val="000000"/>
          <w:sz w:val="20"/>
        </w:rPr>
        <w:t>.  The Company shall cause the Warrant Shares purchased hereunder to be transmitted by the Transfer Agent to the Holder by crediting the account of the Holder’s or its designee’s balance account with The Depository Trust Company through its Deposit or Withdrawal at Custodian system (“</w:t>
      </w:r>
      <w:r>
        <w:rPr>
          <w:rFonts w:ascii="Times New Roman;Times;serif" w:hAnsi="Times New Roman;Times;serif"/>
          <w:color w:val="000000"/>
          <w:sz w:val="20"/>
          <w:u w:val="single"/>
        </w:rPr>
        <w:t>DWAC</w:t>
      </w:r>
      <w:r>
        <w:rPr>
          <w:rFonts w:ascii="Times New Roman;Times;serif" w:hAnsi="Times New Roman;Times;serif"/>
          <w:color w:val="000000"/>
          <w:sz w:val="20"/>
        </w:rPr>
        <w:t>”) if the Company is then a participant in such system and either (A) there is an effective registration statement permitting the issuance of the Warrant Shares to or resale of the Warrant Shares by the Holder or (B) the Warrant Shares are eligible for resale by the Holder without volume or manner-of-sale limitations pursuant to Rule 144 (assuming cashless exercise of the Warrants), and otherwise by physical delivery of a certificate or a book-entry certificate, registered in the Company’s share register in the name of the Holder or its designee, for the number of Warrant Shares to which the Holder is entitled pursuant to such exercise to the address specified by the Holder in the Notice of Exercise by the date that is the earlier of (i) one (1) Trading Day and (ii) the number of Trading Days comprising the Standard Settlement Period, in each case after the delivery to the Company of the Notice of Exercise (such date, the “</w:t>
      </w:r>
      <w:r>
        <w:rPr>
          <w:rFonts w:ascii="Times New Roman;Times;serif" w:hAnsi="Times New Roman;Times;serif"/>
          <w:color w:val="000000"/>
          <w:sz w:val="20"/>
          <w:u w:val="single"/>
        </w:rPr>
        <w:t>Warrant Share Delivery Date</w:t>
      </w:r>
      <w:r>
        <w:rPr>
          <w:rFonts w:ascii="Times New Roman;Times;serif" w:hAnsi="Times New Roman;Times;serif"/>
          <w:color w:val="000000"/>
          <w:sz w:val="20"/>
        </w:rPr>
        <w:t>”).  Upon delivery of the Notice of Exercise, the Holder shall be deemed for all corporate purposes to have become the holder of record of the Warrant Shares with respect to which this Warrant has been exercised, irrespective of the date of delivery of the Warrant Shares, provided that payment of the aggregate Exercise Price (other than in the case of a cashless exercise) is received within the earlier of (i) one (1) Trading Day and (ii) the number of Trading Days comprising the Standard Settlement Period, in each case after the delivery to the Company of the Notice of Exercise.  If the Company fails for any reason to deliver to the Holder the Warrant Shares subject to a Notice of Exercise by the Warrant Share Delivery Date, the Company shall pay to the Holder, in cash, as liquidated damages and not as a penalty, for each $1,000 of Warrant Shares subject to such exercise (based on the VWAP of the Ordinary Shares on the date of the applicable Notice of Exercise), $10 per Trading Day (increasing to $20 per Trading Day on the third (3rd) Trading Day after the Warrant Share Delivery Date) for each Trading Day after such Warrant Share Delivery Date until such Warrant Shares are delivered or Holder rescinds such exercise.  The Company agrees to maintain a transfer agent that is a participant in the FAST program so long as this Warrant remains outstanding and exercisable.  As used herein, “</w:t>
      </w:r>
      <w:r>
        <w:rPr>
          <w:rFonts w:ascii="Times New Roman;Times;serif" w:hAnsi="Times New Roman;Times;serif"/>
          <w:color w:val="000000"/>
          <w:sz w:val="20"/>
          <w:u w:val="single"/>
        </w:rPr>
        <w:t>Standard Settlement Period</w:t>
      </w:r>
      <w:r>
        <w:rPr>
          <w:rFonts w:ascii="Times New Roman;Times;serif" w:hAnsi="Times New Roman;Times;serif"/>
          <w:color w:val="000000"/>
          <w:sz w:val="20"/>
        </w:rPr>
        <w:t>” means the standard settlement period, expressed in a number of Trading Days, on the Company’s primary Trading Market with respect to the Ordinary Shares as in effect on the date of delivery of the Notice of Exercise.</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2160" w:right="0" w:firstLine="720"/>
        <w:jc w:val="both"/>
        <w:rPr>
          <w:rFonts w:ascii="Times New Roman;Times;serif" w:hAnsi="Times New Roman;Times;serif"/>
          <w:color w:val="000000"/>
          <w:sz w:val="20"/>
        </w:rPr>
      </w:pPr>
      <w:r>
        <w:rPr>
          <w:rFonts w:ascii="Times New Roman;Times;serif" w:hAnsi="Times New Roman;Times;serif"/>
          <w:color w:val="000000"/>
          <w:sz w:val="20"/>
        </w:rPr>
        <w:t>ii.          </w:t>
      </w:r>
      <w:r>
        <w:rPr>
          <w:rFonts w:ascii="Times New Roman;Times;serif" w:hAnsi="Times New Roman;Times;serif"/>
          <w:color w:val="000000"/>
          <w:sz w:val="20"/>
          <w:u w:val="single"/>
        </w:rPr>
        <w:t>Delivery of New Warrants Upon Exercise</w:t>
      </w:r>
      <w:r>
        <w:rPr>
          <w:rFonts w:ascii="Times New Roman;Times;serif" w:hAnsi="Times New Roman;Times;serif"/>
          <w:color w:val="000000"/>
          <w:sz w:val="20"/>
        </w:rPr>
        <w:t>.  If this Warrant shall have been exercised in part, the Company shall, at the request of a Holder and upon surrender of this Warrant certificate, at the time of delivery of the Warrant Shares, deliver to the Holder a new Warrant evidencing the rights of the Holder to purchase the unpurchased Warrant Shares called for by this Warrant, which new Warrant shall in all other respects be identical with this Warrant.</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2160" w:right="0" w:firstLine="720"/>
        <w:jc w:val="both"/>
        <w:rPr>
          <w:rFonts w:ascii="Times New Roman;Times;serif" w:hAnsi="Times New Roman;Times;serif"/>
          <w:color w:val="000000"/>
          <w:sz w:val="20"/>
        </w:rPr>
      </w:pPr>
      <w:r>
        <w:rPr>
          <w:rFonts w:ascii="Times New Roman;Times;serif" w:hAnsi="Times New Roman;Times;serif"/>
          <w:color w:val="000000"/>
          <w:sz w:val="20"/>
        </w:rPr>
        <w:t>iii.          </w:t>
      </w:r>
      <w:r>
        <w:rPr>
          <w:rFonts w:ascii="Times New Roman;Times;serif" w:hAnsi="Times New Roman;Times;serif"/>
          <w:color w:val="000000"/>
          <w:sz w:val="20"/>
          <w:u w:val="single"/>
        </w:rPr>
        <w:t>Rescission Rights</w:t>
      </w:r>
      <w:r>
        <w:rPr>
          <w:rFonts w:ascii="Times New Roman;Times;serif" w:hAnsi="Times New Roman;Times;serif"/>
          <w:color w:val="000000"/>
          <w:sz w:val="20"/>
        </w:rPr>
        <w:t>.  If the Company fails to cause the Transfer Agent to transmit to the Holder the Warrant Shares pursuant to Section 2(d)(i) by the Warrant Share Delivery Date, then the Holder will have the right to rescind such exercise.</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2160" w:right="0" w:firstLine="720"/>
        <w:jc w:val="both"/>
        <w:rPr>
          <w:rFonts w:ascii="Times New Roman;Times;serif" w:hAnsi="Times New Roman;Times;serif"/>
          <w:color w:val="000000"/>
          <w:sz w:val="20"/>
        </w:rPr>
      </w:pPr>
      <w:r>
        <w:rPr>
          <w:rFonts w:ascii="Times New Roman;Times;serif" w:hAnsi="Times New Roman;Times;serif"/>
          <w:color w:val="000000"/>
          <w:sz w:val="20"/>
        </w:rPr>
        <w:t>iv.          </w:t>
      </w:r>
      <w:r>
        <w:rPr>
          <w:rFonts w:ascii="Times New Roman;Times;serif" w:hAnsi="Times New Roman;Times;serif"/>
          <w:color w:val="000000"/>
          <w:sz w:val="20"/>
          <w:u w:val="single"/>
        </w:rPr>
        <w:t>Compensation for Buy-In on Failure to Timely Deliver Warrant Shares Upon Exercise</w:t>
      </w:r>
      <w:r>
        <w:rPr>
          <w:rFonts w:ascii="Times New Roman;Times;serif" w:hAnsi="Times New Roman;Times;serif"/>
          <w:color w:val="000000"/>
          <w:sz w:val="20"/>
        </w:rPr>
        <w:t>.  In addition to any other rights available to the Holder, if the Company fails to cause the Transfer Agent to transmit to the Holder the Warrant Shares in accordance with the provisions of Section 2(d)(i) above pursuant to an exercise on or before the Warrant Share Delivery Date, and if after such date the Holder is required by its broker to purchase (in an open market transaction or otherwise) or the Holder’s brokerage firm otherwise purchases, Ordinary Shares to deliver in satisfaction of a sale by the Holder of the Warrant Shares which the Holder anticipated receiving upon such exercise (a “</w:t>
      </w:r>
      <w:r>
        <w:rPr>
          <w:rFonts w:ascii="Times New Roman;Times;serif" w:hAnsi="Times New Roman;Times;serif"/>
          <w:color w:val="000000"/>
          <w:sz w:val="20"/>
          <w:u w:val="single"/>
        </w:rPr>
        <w:t>Buy-In</w:t>
      </w:r>
      <w:r>
        <w:rPr>
          <w:rFonts w:ascii="Times New Roman;Times;serif" w:hAnsi="Times New Roman;Times;serif"/>
          <w:color w:val="000000"/>
          <w:sz w:val="20"/>
        </w:rPr>
        <w:t>”), then the Company shall (A) pay in cash to the Holder the amount, if any, by which (x) the Holder’s total purchase price (including brokerage commissions, if any) for the Ordinary Shares so purchased exceeds (y) the amount obtained by multiplying (1) the number of Warrant Shares that the Company was required to deliver to the Holder in connection with the exercise at issue times (2) the price at which the sell order giving rise to such purchase obligation was executed, and (B) at the option of the Holder, either reinstate the portion of the Warrant and equivalent number of Warrant Shares for which such exercise was not honored (in which case such exercise shall be deemed rescinded) or deliver to the Holder the number of Ordinary Shares that would have been issued had the Company timely complied with its exercise and delivery obligations hereunder.  For example, if the Holder purchases Ordinary Shares having a total purchase price of $11,000 to cover a Buy-In with respect to an attempted exercise of Ordinary Shares with an aggregate sale price giving rise to such purchase obligation of $10,000, under clause (A) of the immediately preceding sentence the Company shall be required to pay the Holder $1,000. The Holder shall provide the Company written notice indicating the amounts payable to the Holder in respect of the Buy-In and, upon request of the Company, evidence of the amount of such loss.  Nothing herein shall limit a Holder’s right to pursue any other remedies available to it hereunder, at law or in equity including, without limitation, a decree of specific performance and/or injunctive relief with respect to the Company’s failure to timely deliver Ordinary Shares upon exercise of the Warrant as required pursuant to the terms hereof.</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3</w:t>
      </w:r>
    </w:p>
    <w:p>
      <w:pPr>
        <w:pStyle w:val="HorizontalLine"/>
        <w:pBdr>
          <w:bottom w:val="single" w:sz="12" w:space="0" w:color="808080"/>
        </w:pBdr>
        <w:bidi w:val="0"/>
        <w:spacing w:before="200" w:after="200"/>
        <w:jc w:val="left"/>
        <w:rPr/>
      </w:pPr>
      <w:r>
        <w:rPr/>
      </w:r>
    </w:p>
    <w:p>
      <w:pPr>
        <w:pStyle w:val="TextBody"/>
        <w:bidi w:val="0"/>
        <w:spacing w:lineRule="auto" w:line="300" w:before="0" w:after="0"/>
        <w:ind w:left="2160" w:right="0" w:firstLine="720"/>
        <w:jc w:val="both"/>
        <w:rPr>
          <w:rFonts w:ascii="Times New Roman;Times;serif" w:hAnsi="Times New Roman;Times;serif"/>
          <w:color w:val="000000"/>
          <w:sz w:val="20"/>
        </w:rPr>
      </w:pPr>
      <w:r>
        <w:rPr>
          <w:rFonts w:ascii="Times New Roman;Times;serif" w:hAnsi="Times New Roman;Times;serif"/>
          <w:color w:val="000000"/>
          <w:sz w:val="20"/>
        </w:rPr>
        <w:t>v.          </w:t>
      </w:r>
      <w:r>
        <w:rPr>
          <w:rFonts w:ascii="Times New Roman;Times;serif" w:hAnsi="Times New Roman;Times;serif"/>
          <w:color w:val="000000"/>
          <w:sz w:val="20"/>
          <w:u w:val="single"/>
        </w:rPr>
        <w:t>No Fractional Shares or Scrip</w:t>
      </w:r>
      <w:r>
        <w:rPr>
          <w:rFonts w:ascii="Times New Roman;Times;serif" w:hAnsi="Times New Roman;Times;serif"/>
          <w:color w:val="000000"/>
          <w:sz w:val="20"/>
        </w:rPr>
        <w:t>.  No fractional shares or scrip representing fractional shares shall be issued upon the exercise of this Warrant.  As to any fraction of a share which the Holder would otherwise be entitled to purchase upon such exercise, the Company shall, at its election, either pay a cash adjustment in respect of such final fraction in an amount equal to such fraction multiplied by the Exercise Price or round down to the next whole share.</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2160" w:right="0" w:firstLine="720"/>
        <w:jc w:val="both"/>
        <w:rPr>
          <w:rFonts w:ascii="Times New Roman;Times;serif" w:hAnsi="Times New Roman;Times;serif"/>
          <w:color w:val="000000"/>
          <w:sz w:val="20"/>
        </w:rPr>
      </w:pPr>
      <w:r>
        <w:rPr>
          <w:rFonts w:ascii="Times New Roman;Times;serif" w:hAnsi="Times New Roman;Times;serif"/>
          <w:color w:val="000000"/>
          <w:sz w:val="20"/>
        </w:rPr>
        <w:t>vi.          </w:t>
      </w:r>
      <w:r>
        <w:rPr>
          <w:rFonts w:ascii="Times New Roman;Times;serif" w:hAnsi="Times New Roman;Times;serif"/>
          <w:color w:val="000000"/>
          <w:sz w:val="20"/>
          <w:u w:val="single"/>
        </w:rPr>
        <w:t>Charges, Taxes and Expenses</w:t>
      </w:r>
      <w:r>
        <w:rPr>
          <w:rFonts w:ascii="Times New Roman;Times;serif" w:hAnsi="Times New Roman;Times;serif"/>
          <w:color w:val="000000"/>
          <w:sz w:val="20"/>
        </w:rPr>
        <w:t xml:space="preserve">.  Issuance of Warrant Shares shall be made without charge to the Holder for any issue or transfer tax or other incidental expense in respect of the issuance of such Warrant Shares, all of which taxes and expenses shall be paid by the Company, and such Warrant Shares shall be issued in the name of the Holder or in such name or names as may be directed by the Holder;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however</w:t>
      </w:r>
      <w:r>
        <w:rPr>
          <w:rFonts w:ascii="Times New Roman;Times;serif" w:hAnsi="Times New Roman;Times;serif"/>
          <w:color w:val="000000"/>
          <w:sz w:val="20"/>
        </w:rPr>
        <w:t>, that in the event that Warrant Shares are to be issued in a name other than the name of the Holder, this Warrant when surrendered for exercise shall be accompanied by the Assignment Form attached hereto duly executed by the Holder and the Company may require, as a condition thereto, the payment of a sum sufficient to reimburse it for any transfer tax incidental thereto.  The Company shall pay all Transfer Agent fees required for same-day processing of any Notice of Exercise and all fees to the Depository Trust Company (or another established clearing corporation performing similar functions) required for same-day electronic delivery of the Warrant Shares.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2160" w:right="0" w:firstLine="720"/>
        <w:jc w:val="both"/>
        <w:rPr>
          <w:rFonts w:ascii="Times New Roman;Times;serif" w:hAnsi="Times New Roman;Times;serif"/>
          <w:color w:val="000000"/>
          <w:sz w:val="20"/>
        </w:rPr>
      </w:pPr>
      <w:r>
        <w:rPr>
          <w:rFonts w:ascii="Times New Roman;Times;serif" w:hAnsi="Times New Roman;Times;serif"/>
          <w:color w:val="000000"/>
          <w:sz w:val="20"/>
        </w:rPr>
        <w:t>vii.          </w:t>
      </w:r>
      <w:r>
        <w:rPr>
          <w:rFonts w:ascii="Times New Roman;Times;serif" w:hAnsi="Times New Roman;Times;serif"/>
          <w:color w:val="000000"/>
          <w:sz w:val="20"/>
          <w:u w:val="single"/>
        </w:rPr>
        <w:t>Closing of Books</w:t>
      </w:r>
      <w:r>
        <w:rPr>
          <w:rFonts w:ascii="Times New Roman;Times;serif" w:hAnsi="Times New Roman;Times;serif"/>
          <w:color w:val="000000"/>
          <w:sz w:val="20"/>
        </w:rPr>
        <w:t>.  The Company will not close its shareholder books or records in any manner which prevents the timely exercise of this Warrant, pursuant to the terms hereof.</w:t>
      </w:r>
    </w:p>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38" w:name="zf62e69ff81d948398a9bdbc7cd8ca805"/>
      <w:bookmarkStart w:id="39" w:name="zf62e69ff81d948398a9bdbc7cd8ca805"/>
      <w:bookmarkEnd w:id="39"/>
    </w:p>
    <w:tbl>
      <w:tblPr>
        <w:tblW w:w="10205" w:type="dxa"/>
        <w:jc w:val="left"/>
        <w:tblInd w:w="0" w:type="dxa"/>
        <w:tblLayout w:type="fixed"/>
        <w:tblCellMar>
          <w:top w:w="0" w:type="dxa"/>
          <w:left w:w="0" w:type="dxa"/>
          <w:bottom w:w="0" w:type="dxa"/>
          <w:right w:w="0" w:type="dxa"/>
        </w:tblCellMar>
      </w:tblPr>
      <w:tblGrid>
        <w:gridCol w:w="38"/>
        <w:gridCol w:w="111"/>
        <w:gridCol w:w="10056"/>
      </w:tblGrid>
      <w:tr>
        <w:trPr/>
        <w:tc>
          <w:tcPr>
            <w:tcW w:w="38" w:type="dxa"/>
            <w:tcBorders/>
            <w:vAlign w:val="center"/>
          </w:tcPr>
          <w:p>
            <w:pPr>
              <w:pStyle w:val="TableContents"/>
              <w:bidi w:val="0"/>
              <w:spacing w:before="0" w:after="283"/>
              <w:jc w:val="left"/>
              <w:rPr/>
            </w:pPr>
            <w:r>
              <w:rPr/>
            </w:r>
          </w:p>
        </w:tc>
        <w:tc>
          <w:tcPr>
            <w:tcW w:w="11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w:t>
            </w:r>
          </w:p>
        </w:tc>
        <w:tc>
          <w:tcPr>
            <w:tcW w:w="10056" w:type="dxa"/>
            <w:tcBorders/>
            <w:vAlign w:val="center"/>
          </w:tcPr>
          <w:p>
            <w:pPr>
              <w:pStyle w:val="TableContents"/>
              <w:bidi w:val="0"/>
              <w:spacing w:lineRule="auto" w:line="240" w:before="0" w:after="0"/>
              <w:jc w:val="both"/>
              <w:rPr>
                <w:rFonts w:ascii="Times New Roman;Times;serif" w:hAnsi="Times New Roman;Times;serif"/>
                <w:sz w:val="20"/>
              </w:rPr>
            </w:pPr>
            <w:r>
              <w:rPr>
                <w:rFonts w:ascii="Times New Roman;Times;serif" w:hAnsi="Times New Roman;Times;serif"/>
                <w:sz w:val="20"/>
                <w:u w:val="single"/>
              </w:rPr>
              <w:t>Holder’s Exercise Limitations</w:t>
            </w:r>
            <w:r>
              <w:rPr>
                <w:rFonts w:ascii="Times New Roman;Times;serif" w:hAnsi="Times New Roman;Times;serif"/>
                <w:sz w:val="20"/>
              </w:rPr>
              <w:t>.   The Company shall not effect any exercise of this Warrant, and a Holder shall not have the right to exercise any portion of this Warrant, pursuant to Section 2 or otherwise, to the extent that after giving effect to such issuance after exercise as set forth on the applicable Notice of Exercise, the Holder (together with the Holder’s Affiliates, and any other Persons acting as a group together with the Holder or any of the Holder’s Affiliates (such Persons, “</w:t>
            </w:r>
            <w:r>
              <w:rPr>
                <w:rFonts w:ascii="Times New Roman;Times;serif" w:hAnsi="Times New Roman;Times;serif"/>
                <w:sz w:val="20"/>
                <w:u w:val="single"/>
              </w:rPr>
              <w:t>Attribution Parties</w:t>
            </w:r>
            <w:r>
              <w:rPr>
                <w:rFonts w:ascii="Times New Roman;Times;serif" w:hAnsi="Times New Roman;Times;serif"/>
                <w:sz w:val="20"/>
              </w:rPr>
              <w:t>”)), would beneficially own in excess of the Beneficial Ownership Limitation (as defined below).  For purposes of the foregoing sentence, the number of Ordinary Shares beneficially owned by the Holder and its Affiliates and Attribution Parties shall include the number of Ordinary Shares issuable upon exercise of this Warrant with respect to which such determination is being made, but shall exclude the number of Ordinary Shares which would be issuable upon (i) exercise of the remaining, nonexercised portion of this Warrant beneficially owned by the Holder or any of its Affiliates or Attribution Parties and (ii) exercise or conversion of the unexercised or nonconverted portion of any other securities of the Company (including, without limitation, any other Ordinary Share Equivalents) subject to a limitation on conversion or exercise analogous to the limitation contained herein beneficially owned by the Holder or any of its Affiliates or Attribution Parties.  Except as set forth in the preceding sentence, for purposes of this Section 2(e), beneficial ownership shall be calculated in accordance with Section 13(d) of the Exchange Act and the rules and regulations promulgated thereunder, it being acknowledged by the Holder that the Company is not representing to the Holder that such calculation is in compliance with Section 13(d) of the Exchange Act and the Holder is solely responsible for any schedules required to be filed in accordance therewith.  To the extent that the limitation contained in this Section 2(e) applies, the determination of whether this Warrant is exercisable (in relation to other securities owned by the Holder together with any Affiliates and Attribution Parties) and of which portion of this Warrant is exercisable shall be in the sole discretion of the Holder, and the submission of a Notice of Exercise shall be deemed to be the Holder’s determination of whether this Warrant is exercisable (in relation to other securities owned by the Holder together with any Affiliates and Attribution Parties) and of which portion of this Warrant is exercisable, in each case subject to the Beneficial Ownership Limitation, and the Company shall have no obligation to verify or confirm the accuracy of such determination.  In addition, a determination as to any group status as contemplated above shall be determined in accordance with Section 13(d) of the Exchange Act and the rules and regulations promulgated thereunder, and the Company shall have no obligation to verify or confirm the accuracy of such determination.  For purposes of this Section 2(e), in determining the number of outstanding Ordinary Shares, a Holder may rely on the number of outstanding Ordinary Shares as reflected in (A) the Company’s most recent periodic or annual report filed with the Commission, as the case may be, (B) a more recent public announcement by the Company or (C) a more recent written notice by the Company or the Transfer Agent setting forth the number of Ordinary Shares outstanding.  Upon the written or oral request of a Holder, the Company shall within one (1) Trading Day confirm orally and in writing to the Holder the number of Ordinary Shares then outstanding.  In any case, the number of outstanding Ordinary Shares shall be determined after giving effect to the conversion or exercise of securities of the Company, including this Warrant, by the Holder or its Affiliates or Attribution Parties since the date as of which such number of outstanding Ordinary Shares was reported.  The “</w:t>
            </w:r>
            <w:r>
              <w:rPr>
                <w:rFonts w:ascii="Times New Roman;Times;serif" w:hAnsi="Times New Roman;Times;serif"/>
                <w:sz w:val="20"/>
                <w:u w:val="single"/>
              </w:rPr>
              <w:t>Beneficial Ownership Limitation</w:t>
            </w:r>
            <w:r>
              <w:rPr>
                <w:rFonts w:ascii="Times New Roman;Times;serif" w:hAnsi="Times New Roman;Times;serif"/>
                <w:sz w:val="20"/>
              </w:rPr>
              <w:t>” shall be 45.0% of the number of Ordinary Shares outstanding immediately after giving effect to the issuance of Ordinary Shares issuable upon exercise of this Warrant.  The Holder, upon notice to the Company, may increase or decrease the Beneficial Ownership Limitation provisions of this Section 2(e), provided that the Beneficial Ownership Limitation in no event exceeds 45.0% of the number of Ordinary Shares outstanding immediately after giving effect to the issuance of Ordinary Shares upon exercise of this Warrant held by the Holder and the provisions of this Section 2(e) shall continue to apply. Any increase in the Beneficial Ownership Limitation will not be effective until the 61st day after such notice is delivered to the Company.  The provisions of this paragraph shall be construed and implemented in a manner otherwise than in strict conformity with the terms of this Section 2(e)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Warrant.</w:t>
            </w:r>
          </w:p>
        </w:tc>
      </w:tr>
    </w:tbl>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4</w:t>
      </w:r>
    </w:p>
    <w:p>
      <w:pPr>
        <w:pStyle w:val="HorizontalLine"/>
        <w:pBdr>
          <w:bottom w:val="single" w:sz="12" w:space="0" w:color="808080"/>
        </w:pBdr>
        <w:bidi w:val="0"/>
        <w:spacing w:before="200" w:after="200"/>
        <w:jc w:val="left"/>
        <w:rPr/>
      </w:pPr>
      <w:r>
        <w:rPr/>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u w:val="single"/>
        </w:rPr>
        <w:t>Section 3</w:t>
      </w:r>
      <w:r>
        <w:rPr>
          <w:rFonts w:ascii="Times New Roman;Times;serif" w:hAnsi="Times New Roman;Times;serif"/>
          <w:color w:val="000000"/>
          <w:sz w:val="20"/>
        </w:rPr>
        <w:t>.          </w:t>
      </w:r>
      <w:r>
        <w:rPr>
          <w:rFonts w:ascii="Times New Roman;Times;serif" w:hAnsi="Times New Roman;Times;serif"/>
          <w:color w:val="000000"/>
          <w:sz w:val="20"/>
          <w:u w:val="single"/>
        </w:rPr>
        <w:t>Certain Adjustments</w:t>
      </w:r>
      <w:r>
        <w:rPr>
          <w:rFonts w:ascii="Times New Roman;Times;serif" w:hAnsi="Times New Roman;Times;serif"/>
          <w:color w:val="000000"/>
          <w:sz w:val="20"/>
        </w:rPr>
        <w:t>.</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a)          </w:t>
      </w:r>
      <w:r>
        <w:rPr>
          <w:rFonts w:ascii="Times New Roman;Times;serif" w:hAnsi="Times New Roman;Times;serif"/>
          <w:color w:val="000000"/>
          <w:sz w:val="20"/>
          <w:u w:val="single"/>
        </w:rPr>
        <w:t>Share Dividends and Splits</w:t>
      </w:r>
      <w:r>
        <w:rPr>
          <w:rFonts w:ascii="Times New Roman;Times;serif" w:hAnsi="Times New Roman;Times;serif"/>
          <w:color w:val="000000"/>
          <w:sz w:val="20"/>
        </w:rPr>
        <w:t>.  If the Company, at any time while this Warrant is outstanding: (i) pays a share dividend or otherwise makes a distribution or distributions on its Ordinary Shares or any other equity or equity equivalent securities payable in Ordinary Shares (which, for avoidance of doubt, shall not include any Ordinary Shares issued by the Company upon exercise of this Warrant), (ii) subdivides outstanding Ordinary Shares into a larger number of shares, (iii) combines (including by way of reverse share split) outstanding Ordinary Shares into a smaller number of shares, or (iv) issues by reclassification of Ordinary Shares any shares of share capital of the Company, then in each case the Exercise Price shall be multiplied by a fraction of which the numerator shall be the number of Ordinary Shares (excluding treasury shares, if any) outstanding immediately before such event and of which the denominator shall be the number of Ordinary Shares outstanding immediately after such event, and the number of shares issuable upon exercise of this Warrant shall be proportionately adjusted such that the aggregate Exercise Price of this Warrant shall remain unchanged.  Any adjustment made pursuant to this Section 3(a) shall become effective immediately after the record date for the determination of shareholders entitled to receive such dividend or distribution and shall become effective immediately after the effective date in the case of a subdivision, combination or re</w:t>
        <w:noBreakHyphen/>
        <w:t>classification.</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 xml:space="preserve">b)         </w:t>
      </w:r>
      <w:r>
        <w:rPr>
          <w:rFonts w:ascii="Times New Roman;Times;serif" w:hAnsi="Times New Roman;Times;serif"/>
          <w:color w:val="000000"/>
          <w:sz w:val="20"/>
          <w:u w:val="single"/>
        </w:rPr>
        <w:t>Subsequent Rights Offerings</w:t>
      </w:r>
      <w:r>
        <w:rPr>
          <w:rFonts w:ascii="Times New Roman;Times;serif" w:hAnsi="Times New Roman;Times;serif"/>
          <w:color w:val="000000"/>
          <w:sz w:val="20"/>
        </w:rPr>
        <w:t>.  In addition to any adjustments pursuant to Section 3(a) above, if at any time the Company grants, issues or sells any Ordinary Share Equivalents or rights to purchase shares, warrants, securities or other property pro rata to the record holders of any class of Ordinary Shares (the “</w:t>
      </w:r>
      <w:r>
        <w:rPr>
          <w:rFonts w:ascii="Times New Roman;Times;serif" w:hAnsi="Times New Roman;Times;serif"/>
          <w:color w:val="000000"/>
          <w:sz w:val="20"/>
          <w:u w:val="single"/>
        </w:rPr>
        <w:t>Purchase Rights</w:t>
      </w:r>
      <w:r>
        <w:rPr>
          <w:rFonts w:ascii="Times New Roman;Times;serif" w:hAnsi="Times New Roman;Times;serif"/>
          <w:color w:val="000000"/>
          <w:sz w:val="20"/>
        </w:rPr>
        <w:t>”), then the Holder will be entitled to acquire, upon the terms applicable to such Purchase Rights, the aggregate Purchase Rights which the Holder could have acquired if the Holder had held the number of Ordinary Shares acquirable upon complete exercise of this Warrant (without regard to any limitations on exercise hereof, including without limitation, the Beneficial Ownership Limitation) immediately before the date on which a record is taken for the grant, issuance or sale of such Purchase Rights, or, if no such record is taken, the date as of which the record holders of Ordinary Shares are to be determined for the grant, issue or sale of such Purchase Rights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however</w:t>
      </w:r>
      <w:r>
        <w:rPr>
          <w:rFonts w:ascii="Times New Roman;Times;serif" w:hAnsi="Times New Roman;Times;serif"/>
          <w:color w:val="000000"/>
          <w:sz w:val="20"/>
        </w:rPr>
        <w:t>, that to the extent that the Holder’s right to participate in any such Purchase Right would result in the Holder exceeding the Beneficial Ownership Limitation, then the Holder shall not be entitled to participate in such Purchase Right to such extent (or beneficial ownership of such Ordinary Shares as a result of such Purchase Right to such extent) and such Purchase Right to such extent shall be held in abeyance for the Holder until such time, if ever, as its right thereto would not result in the Holder exceeding the Beneficial Ownership Limitation).</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c)          </w:t>
      </w:r>
      <w:r>
        <w:rPr>
          <w:rFonts w:ascii="Times New Roman;Times;serif" w:hAnsi="Times New Roman;Times;serif"/>
          <w:color w:val="000000"/>
          <w:sz w:val="20"/>
          <w:u w:val="single"/>
        </w:rPr>
        <w:t>Pro Rata Distributions</w:t>
      </w:r>
      <w:r>
        <w:rPr>
          <w:rFonts w:ascii="Times New Roman;Times;serif" w:hAnsi="Times New Roman;Times;serif"/>
          <w:color w:val="000000"/>
          <w:sz w:val="20"/>
        </w:rPr>
        <w:t>.  During such time as this Warrant is outstanding, if the Company shall declare or make any dividend or other distribution of its assets (or rights to acquire its assets) to holders of Ordinary Shares, by way of return of capital or otherwise (including, without limitation, any distribution of cash, shares, or other securities, property or options by way of a dividend, spin off, reclassification, corporate rearrangement, scheme of arrangement or other similar transaction) (a “</w:t>
      </w:r>
      <w:r>
        <w:rPr>
          <w:rFonts w:ascii="Times New Roman;Times;serif" w:hAnsi="Times New Roman;Times;serif"/>
          <w:color w:val="000000"/>
          <w:sz w:val="20"/>
          <w:u w:val="single"/>
        </w:rPr>
        <w:t>Distribution</w:t>
      </w:r>
      <w:r>
        <w:rPr>
          <w:rFonts w:ascii="Times New Roman;Times;serif" w:hAnsi="Times New Roman;Times;serif"/>
          <w:color w:val="000000"/>
          <w:sz w:val="20"/>
        </w:rPr>
        <w:t>”), at any time after the issuance of this Warrant, then, in each such case, the Holder shall be entitled to participate in such Distribution to the same extent that the Holder would have participated therein if the Holder had held the number of Ordinary Shares acquirable upon complete exercise of this Warrant (without regard to any limitations on exercise hereof, including without limitation, the Beneficial Ownership Limitation) immediately before the date of which a record is taken for such Distribution, or, if no such record is taken, the date as of which the record holders of Ordinary Shares are to be determined for the participation in such Distribution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however</w:t>
      </w:r>
      <w:r>
        <w:rPr>
          <w:rFonts w:ascii="Times New Roman;Times;serif" w:hAnsi="Times New Roman;Times;serif"/>
          <w:color w:val="000000"/>
          <w:sz w:val="20"/>
        </w:rPr>
        <w:t>, that to the extent that the Holder’s right to participate in any such Distribution would result in the Holder exceeding the Beneficial Ownership Limitation, then the Holder shall not be entitled to participate in such Distribution to such extent (or in the beneficial ownership of any Ordinary Shares as a result of such Distribution to such extent) and the portion of such Distribution shall be held in abeyance for the benefit of the Holder until such time, if ever, as its right thereto would not result in the Holder exceeding the Beneficial Ownership Limitation).</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5</w:t>
      </w:r>
    </w:p>
    <w:p>
      <w:pPr>
        <w:pStyle w:val="HorizontalLine"/>
        <w:pBdr>
          <w:bottom w:val="single" w:sz="12" w:space="0" w:color="808080"/>
        </w:pBdr>
        <w:bidi w:val="0"/>
        <w:spacing w:before="200" w:after="200"/>
        <w:jc w:val="left"/>
        <w:rPr/>
      </w:pPr>
      <w:r>
        <w:rPr/>
      </w:r>
    </w:p>
    <w:p>
      <w:pPr>
        <w:pStyle w:val="TextBody"/>
        <w:bidi w:val="0"/>
        <w:spacing w:lineRule="auto" w:line="300"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d)          </w:t>
      </w:r>
      <w:r>
        <w:rPr>
          <w:rFonts w:ascii="Times New Roman;Times;serif" w:hAnsi="Times New Roman;Times;serif"/>
          <w:color w:val="000000"/>
          <w:sz w:val="20"/>
          <w:u w:val="single"/>
        </w:rPr>
        <w:t>Fundamental Transaction</w:t>
      </w:r>
      <w:r>
        <w:rPr>
          <w:rFonts w:ascii="Times New Roman;Times;serif" w:hAnsi="Times New Roman;Times;serif"/>
          <w:color w:val="000000"/>
          <w:sz w:val="20"/>
        </w:rPr>
        <w:t>. If, at any time while this Warrant is outstanding, (i) the Company, directly or indirectly, in one or more related transactions effects any merger or consolidation of the Company with or into another Person, (ii) the Company (or any Subsidiary), directly or indirectly, effects any sale, lease, license, assignment, transfer, conveyance or other disposition of all or substantially all of the Company’s assets in one or a series of related transactions, (iii) any, direct or indirect, purchase offer, tender offer or exchange offer (whether by the Company or another Person) is completed pursuant to which holders of Ordinary Shares are permitted to sell, tender or exchange their shares for other securities, cash or property and has been accepted by the holders of more than 50% of the outstanding Ordinary Shares or more than 50% of the voting power of the common equity of the Company, (iv) the Company, directly or indirectly, in one or more related transactions effects any reclassification, reorganization or recapitalization of the Ordinary Shares or any compulsory share exchange pursuant to which the Ordinary Shares are effectively converted into or exchanged for other securities, cash or property, or (v) the Company, directly or indirectly, in one or more related transactions consummates a share purchase agreement or other business combination (including, without limitation, a reorganization, recapitalization, spin-off, merger or scheme of arrangement) with another Person or group of Persons whereby such other Person or group acquires more than 50% of the outstanding Ordinary Shares or more than 50% of the voting power of the common equity of the Company (each a “</w:t>
      </w:r>
      <w:r>
        <w:rPr>
          <w:rFonts w:ascii="Times New Roman;Times;serif" w:hAnsi="Times New Roman;Times;serif"/>
          <w:color w:val="000000"/>
          <w:sz w:val="20"/>
          <w:u w:val="single"/>
        </w:rPr>
        <w:t>Fundamental Transaction</w:t>
      </w:r>
      <w:r>
        <w:rPr>
          <w:rFonts w:ascii="Times New Roman;Times;serif" w:hAnsi="Times New Roman;Times;serif"/>
          <w:color w:val="000000"/>
          <w:sz w:val="20"/>
        </w:rPr>
        <w:t>”), then, upon any subsequent exercise of this Warrant, the Holder shall have the right to receive, for each Warrant Share that would have been issuable upon such exercise immediately prior to the occurrence of such Fundamental Transaction, at the option of the Holder (without regard to any limitation in Section 2(e) on the exercise of this Warrant), the number of Ordinary Shares of the successor or acquiring corporation or of the Company, if it is the surviving corporation, and any additional consideration (the “</w:t>
      </w:r>
      <w:r>
        <w:rPr>
          <w:rFonts w:ascii="Times New Roman;Times;serif" w:hAnsi="Times New Roman;Times;serif"/>
          <w:color w:val="000000"/>
          <w:sz w:val="20"/>
          <w:u w:val="single"/>
        </w:rPr>
        <w:t>Alternate Consideration</w:t>
      </w:r>
      <w:r>
        <w:rPr>
          <w:rFonts w:ascii="Times New Roman;Times;serif" w:hAnsi="Times New Roman;Times;serif"/>
          <w:color w:val="000000"/>
          <w:sz w:val="20"/>
        </w:rPr>
        <w:t xml:space="preserve">”) receivable as a result of such Fundamental Transaction by a holder of the number of Ordinary Shares for which this Warrant is exercisable immediately prior to such Fundamental Transaction (without regard to any limitation in Section 2(e) on the exercise of this Warrant).  For purposes of any such exercise, the determination of the Exercise Price shall be appropriately adjusted to apply to such Alternate Consideration based on the amount of Alternate Consideration issuable in respect of one Ordinary Share in such Fundamental Transaction, and the Company shall apportion the Exercise Price among the Alternate Consideration in a reasonable manner reflecting the relative value of any different components of the Alternate Consideration.  If holders of Ordinary Shares are given any choice as to the securities, cash or property to be received in a Fundamental Transaction, then the Holder shall be given the same choice as to the Alternate Consideration it receives upon any exercise of this Warrant following such Fundamental Transaction.  Notwithstanding anything to the contrary, in the event of a Fundamental Transaction, the Company or any Successor Entity (as defined below) shall, at the Holder’s option, exercisable at any time concurrently with, or within 30 days after, the consummation of the Fundamental Transaction (or, if later, the date of the public announcement of the applicable Fundamental Transaction), purchase this Warrant from the Holder by paying to the Holder an amount equal to the Black Scholes Value (as defined below) of the remaining unexercised portion of this Warrant on the date of the consummation of such Fundamental Transaction payable in either, at the option of the Company, cash, Ordinary Shares or the same type or form of consideration (and in the same proportion) that is being offered and paid to the holders of the Ordinary Shares of the Company in connection with the Fundamental Transaction, whether that consideration be in the form of cash, shares or any combination thereof, or whether the holders of the Ordinary Shares are given the choice to receive from among alternative forms of consideration in connection with the Fundamental Transaction;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further</w:t>
      </w:r>
      <w:r>
        <w:rPr>
          <w:rFonts w:ascii="Times New Roman;Times;serif" w:hAnsi="Times New Roman;Times;serif"/>
          <w:color w:val="000000"/>
          <w:sz w:val="20"/>
        </w:rPr>
        <w:t>, that if holders of Ordinary Shares of the Company are not offered or paid any consideration in such Fundamental Transaction, such holders of Ordinary Shares will be deemed to have received common stock of the Successor Entity (which Entity may be the Company following such Fundamental Transaction) in such Fundamental Transaction.  “</w:t>
      </w:r>
      <w:r>
        <w:rPr>
          <w:rFonts w:ascii="Times New Roman;Times;serif" w:hAnsi="Times New Roman;Times;serif"/>
          <w:color w:val="000000"/>
          <w:sz w:val="20"/>
          <w:u w:val="single"/>
        </w:rPr>
        <w:t>Black Scholes Value</w:t>
      </w:r>
      <w:r>
        <w:rPr>
          <w:rFonts w:ascii="Times New Roman;Times;serif" w:hAnsi="Times New Roman;Times;serif"/>
          <w:color w:val="000000"/>
          <w:sz w:val="20"/>
        </w:rPr>
        <w:t>” means the value of this Warrant based on the Black-Scholes Option Pricing Model obtained from the “OV” function on Bloomberg determined as of the day of consummation of the applicable Fundamental Transaction for pricing purposes and reflecting (A) a risk-free interest rate corresponding to the U.S. Treasury rate for a period equal to the time between the date of the public announcement of the applicable contemplated Fundamental Transaction and the Termination Date, (B) an expected volatility equal to the greater of (1) the 100 day volatility or (2) the volatility of 100%, each of clauses (1)-(2) as obtained from the HVT function on Bloomberg (determined utilizing a 365 day annualization factor) as of the Trading Day immediately following the public announcement of the applicable contemplated Fundamental Transaction, (C) the underlying price per share used in such calculation shall be the highest VWAP during the period beginning on the Trading Day immediately preceding the public announcement of the applicable contemplated Fundamental Transaction (or the consummation of the applicable Fundamental Transaction, if earlier) and ending on the Trading Day of the Holder’s request pursuant to this Section 3(d), (D) a remaining option time equal to the time between the date of the public announcement of the applicable contemplated Fundamental Transaction and the Termination Date and (E) a zero cost of borrow.  The payment of the Black Scholes Value will be made by wire transfer of immediately available funds (or such other consideration) within the later of (i) five Business Days of the Holder’s election and (ii) the date of consummation of the Fundamental Transaction.  The Company shall cause any successor entity in a Fundamental Transaction in which the Company is not the survivor (the “</w:t>
      </w:r>
      <w:r>
        <w:rPr>
          <w:rFonts w:ascii="Times New Roman;Times;serif" w:hAnsi="Times New Roman;Times;serif"/>
          <w:color w:val="000000"/>
          <w:sz w:val="20"/>
          <w:u w:val="single"/>
        </w:rPr>
        <w:t>Successor Entity</w:t>
      </w:r>
      <w:r>
        <w:rPr>
          <w:rFonts w:ascii="Times New Roman;Times;serif" w:hAnsi="Times New Roman;Times;serif"/>
          <w:color w:val="000000"/>
          <w:sz w:val="20"/>
        </w:rPr>
        <w:t>”) to assume in writing all of the obligations of the Company under this Warrant and the other Transaction Documents in accordance with the provisions of this Section 3(d) pursuant to written agreements in form and substance reasonably satisfactory to the Holder and approved by the Holder (without unreasonable delay) prior to such Fundamental Transaction and shall, at the option of the Holder, deliver to the Holder in exchange for this Warrant a security of the Successor Entity evidenced by a written instrument substantially similar in form and substance to this Warrant which is exercisable for a corresponding number of share capital of such Successor Entity (or its parent entity) equivalent to the Ordinary Shares acquirable and receivable upon exercise of this Warrant (without regard to any limitations on the exercise of this Warrant) prior to such Fundamental Transaction, and with an exercise price which applies the exercise price hereunder to such share capital (but taking into account the relative value of the Ordinary Shares pursuant to such Fundamental Transaction and the value of such share capital, such number of share capital and such exercise price being for the purpose of protecting the economic value of this Warrant immediately prior to the consummation of such Fundamental Transaction), and which is reasonably satisfactory in form and substance to the Holder.  Upon the occurrence of any such Fundamental Transaction, the Successor Entity shall be added to the term “Company” under this Warrant (so that from and after the occurrence or consummation of such Fundamental Transaction, each and every provision of this Warrant and the other Transaction Documents referring to the “Company” shall refer instead to each of the Company and the Successor Entity or Successor Entities, jointly and severally), and the Successor Entity or Successor Entities, jointly and severally with the Company, may exercise every right and power of the Company prior thereto and the Successor Entity or Successor Entities shall assume all of the obligations of the Company prior thereto under this Warrant and the other Transaction Documents with the same effect as if the Company and such Successor Entity or Successor Entities, jointly and severally, had been named as the Company herein.  For the avoidance of doubt, the Holder shall be entitled to the benefits of the provisions of this Section 3(d) regardless of (i) whether the Company has sufficient authorized Ordinary Shares for the issuance of Warrant Shares and/or (ii) whether a Fundamental Transaction occurs prior to the Initial Exercise Date. Notwithstanding anything to the contrary herein, the Company and Holder acknowledge and agree that the transactions contemplated by that certain Purchase Agreement (the “</w:t>
      </w:r>
      <w:r>
        <w:rPr>
          <w:rFonts w:ascii="Times New Roman;Times;serif" w:hAnsi="Times New Roman;Times;serif"/>
          <w:color w:val="000000"/>
          <w:sz w:val="20"/>
          <w:u w:val="single"/>
        </w:rPr>
        <w:t>Oratech Purchase Agreement</w:t>
      </w:r>
      <w:r>
        <w:rPr>
          <w:rFonts w:ascii="Times New Roman;Times;serif" w:hAnsi="Times New Roman;Times;serif"/>
          <w:color w:val="000000"/>
          <w:sz w:val="20"/>
        </w:rPr>
        <w:t>”), dated as of January 12, 2026, by and among the Company, Oratech Pharma, Inc. and Oramed Pharmaceuticals, Inc. (the “</w:t>
      </w:r>
      <w:r>
        <w:rPr>
          <w:rFonts w:ascii="Times New Roman;Times;serif" w:hAnsi="Times New Roman;Times;serif"/>
          <w:color w:val="000000"/>
          <w:sz w:val="20"/>
          <w:u w:val="single"/>
        </w:rPr>
        <w:t>Current Transaction</w:t>
      </w:r>
      <w:r>
        <w:rPr>
          <w:rFonts w:ascii="Times New Roman;Times;serif" w:hAnsi="Times New Roman;Times;serif"/>
          <w:color w:val="000000"/>
          <w:sz w:val="20"/>
        </w:rPr>
        <w:t>”) and related transaction documentation, including the execution of the Oratech Purchase Agreement and documentation related thereto, shall not constitute, and shall not be deemed to constitute, a Fundamental Transaction for any purpose under this Warrant, and no rights, remedies, or obligations that would otherwise arise upon the occurrence of a Fundamental Transaction shall be triggered by or in connection with the consummation of the Current Transaction.  Additionally, notwithstanding anything to the contrary herein, no transaction, action, election, or arrangement initiated, proposed, directed, or otherwise caused by, or at the direction of, Oramed shall constitute, or be deemed to constitute, a Fundamental Transaction, and no Fundamental Transaction shall be deemed to have occurred solely as a result of any voluntary act or omission of Oramed. For the avoidance of doubt, a Fundamental Transaction shall only be deemed to occur upon the consummation of a transaction undertaken by the Company or a third party independent of Oramed, and not as a result of any designation, characterization, or contractual right exercised by Oramed.</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6</w:t>
      </w:r>
    </w:p>
    <w:p>
      <w:pPr>
        <w:pStyle w:val="HorizontalLine"/>
        <w:pBdr>
          <w:bottom w:val="single" w:sz="12" w:space="0" w:color="808080"/>
        </w:pBdr>
        <w:bidi w:val="0"/>
        <w:spacing w:before="200" w:after="200"/>
        <w:jc w:val="left"/>
        <w:rPr/>
      </w:pPr>
      <w:r>
        <w:rPr/>
      </w:r>
    </w:p>
    <w:p>
      <w:pPr>
        <w:pStyle w:val="TextBody"/>
        <w:bidi w:val="0"/>
        <w:spacing w:lineRule="auto" w:line="300"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e)          </w:t>
      </w:r>
      <w:r>
        <w:rPr>
          <w:rFonts w:ascii="Times New Roman;Times;serif" w:hAnsi="Times New Roman;Times;serif"/>
          <w:color w:val="000000"/>
          <w:sz w:val="20"/>
          <w:u w:val="single"/>
        </w:rPr>
        <w:t>Calculations</w:t>
      </w:r>
      <w:r>
        <w:rPr>
          <w:rFonts w:ascii="Times New Roman;Times;serif" w:hAnsi="Times New Roman;Times;serif"/>
          <w:color w:val="000000"/>
          <w:sz w:val="20"/>
        </w:rPr>
        <w:t>.  All calculations under this Section 3 shall be made to the nearest cent or the nearest 1/100th of a share, as the case may be.  For purposes of this Section 3, the number of Ordinary Shares deemed to be issued and outstanding as of a given date shall be the sum of the number of Ordinary Shares (excluding treasury shares, if any) issued and outstanding.</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f)          </w:t>
      </w:r>
      <w:r>
        <w:rPr>
          <w:rFonts w:ascii="Times New Roman;Times;serif" w:hAnsi="Times New Roman;Times;serif"/>
          <w:color w:val="000000"/>
          <w:sz w:val="20"/>
          <w:u w:val="single"/>
        </w:rPr>
        <w:t>Notice to Holder</w:t>
      </w:r>
      <w:r>
        <w:rPr>
          <w:rFonts w:ascii="Times New Roman;Times;serif" w:hAnsi="Times New Roman;Times;serif"/>
          <w:color w:val="000000"/>
          <w:sz w:val="20"/>
        </w:rPr>
        <w:t>.</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2160" w:right="0" w:firstLine="720"/>
        <w:jc w:val="both"/>
        <w:rPr>
          <w:rFonts w:ascii="Times New Roman;Times;serif" w:hAnsi="Times New Roman;Times;serif"/>
          <w:color w:val="000000"/>
          <w:sz w:val="20"/>
        </w:rPr>
      </w:pPr>
      <w:r>
        <w:rPr>
          <w:rFonts w:ascii="Times New Roman;Times;serif" w:hAnsi="Times New Roman;Times;serif"/>
          <w:color w:val="000000"/>
          <w:sz w:val="20"/>
        </w:rPr>
        <w:t>i.          </w:t>
      </w:r>
      <w:r>
        <w:rPr>
          <w:rFonts w:ascii="Times New Roman;Times;serif" w:hAnsi="Times New Roman;Times;serif"/>
          <w:color w:val="000000"/>
          <w:sz w:val="20"/>
          <w:u w:val="single"/>
        </w:rPr>
        <w:t>Adjustment to Exercise Price</w:t>
      </w:r>
      <w:r>
        <w:rPr>
          <w:rFonts w:ascii="Times New Roman;Times;serif" w:hAnsi="Times New Roman;Times;serif"/>
          <w:color w:val="000000"/>
          <w:sz w:val="20"/>
        </w:rPr>
        <w:t>.  Whenever the Exercise Price is adjusted pursuant to any provision of this Section 3, the Company shall promptly deliver to the Holder by email a notice setting forth the Exercise Price after such adjustment and any resulting adjustment to the number of Warrant Shares and setting forth a brief statement of the facts requiring such adjustment.</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2160" w:right="0" w:firstLine="720"/>
        <w:jc w:val="both"/>
        <w:rPr>
          <w:rFonts w:ascii="Times New Roman;Times;serif" w:hAnsi="Times New Roman;Times;serif"/>
          <w:color w:val="000000"/>
          <w:sz w:val="20"/>
        </w:rPr>
      </w:pPr>
      <w:r>
        <w:rPr>
          <w:rFonts w:ascii="Times New Roman;Times;serif" w:hAnsi="Times New Roman;Times;serif"/>
          <w:color w:val="000000"/>
          <w:sz w:val="20"/>
        </w:rPr>
        <w:t>ii.          </w:t>
      </w:r>
      <w:r>
        <w:rPr>
          <w:rFonts w:ascii="Times New Roman;Times;serif" w:hAnsi="Times New Roman;Times;serif"/>
          <w:color w:val="000000"/>
          <w:sz w:val="20"/>
          <w:u w:val="single"/>
        </w:rPr>
        <w:t>Notice to Allow Exercise by Holder</w:t>
      </w:r>
      <w:r>
        <w:rPr>
          <w:rFonts w:ascii="Times New Roman;Times;serif" w:hAnsi="Times New Roman;Times;serif"/>
          <w:color w:val="000000"/>
          <w:sz w:val="20"/>
        </w:rPr>
        <w:t>.  If (A) the Company shall declare a dividend (or any other distribution in whatever form) on the Ordinary Shares, (B) the Company shall declare a special nonrecurring cash dividend on or a redemption of the Ordinary Shares, (C) the Company shall authorize the granting to all holders of the Ordinary Shares rights or warrants to subscribe for or purchase any share capital of any class or of any rights, (D) the approval of any shareholders of the Company shall be required in connection with any reclassification of the Ordinary Shares, any consolidation or merger to which the Company (or any of its Subsidiaries) is a party, any sale or transfer of all or substantially all of its assets, or any compulsory share exchange whereby the Ordinary Shares are converted into other securities, cash or property, or (E) the Company shall authorize the voluntary or involuntary dissolution, liquidation or winding up of the affairs of the Company, then, in each case, the Company shall cause to be delivered by email to the Holder at its last email address as it shall appear upon the Warrant Register of the Company, at least 20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Ordinary Shares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Ordinary Shares of record shall be entitled to exchange their Ordinary Shares for securities, cash or other property deliverable upon such reclassification, consolidation, merger, sale, transfer or share exchange; provided that the failure to deliver such notice or any defect therein or in the delivery thereof shall not affect the validity of the corporate action required to be specified in such notice.  To the extent that any notice provided in this Warrant constitutes, or contains, material, non-public information regarding the Company or any of the Subsidiaries, the Company shall simultaneously file such notice with the Commission pursuant to a Current Report on Form 8-K.  The Holder shall remain entitled to exercise this Warrant during the period commencing on the date of such notice to the effective date of the event triggering such notice except as may otherwise be expressly set forth herein.</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7</w:t>
      </w:r>
    </w:p>
    <w:p>
      <w:pPr>
        <w:pStyle w:val="HorizontalLine"/>
        <w:pBdr>
          <w:bottom w:val="single" w:sz="12" w:space="0" w:color="808080"/>
        </w:pBdr>
        <w:bidi w:val="0"/>
        <w:spacing w:before="200" w:after="200"/>
        <w:jc w:val="left"/>
        <w:rPr/>
      </w:pPr>
      <w:r>
        <w:rPr/>
      </w:r>
    </w:p>
    <w:p>
      <w:pPr>
        <w:pStyle w:val="TextBody"/>
        <w:bidi w:val="0"/>
        <w:spacing w:lineRule="auto" w:line="300"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g)          </w:t>
      </w:r>
      <w:r>
        <w:rPr>
          <w:rFonts w:ascii="Times New Roman;Times;serif" w:hAnsi="Times New Roman;Times;serif"/>
          <w:color w:val="000000"/>
          <w:sz w:val="20"/>
          <w:u w:val="single"/>
        </w:rPr>
        <w:t>Voluntary Adjustment By Company</w:t>
      </w:r>
      <w:r>
        <w:rPr>
          <w:rFonts w:ascii="Times New Roman;Times;serif" w:hAnsi="Times New Roman;Times;serif"/>
          <w:color w:val="000000"/>
          <w:sz w:val="20"/>
        </w:rPr>
        <w:t>.  Subject to the rules and regulations of the Trading Market, the Company may at any time after June 26, 2026 through the term of this Warrant reduce the then current Exercise Price to any amount and for any period of time deemed appropriate by the board of directors of the Company.</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u w:val="single"/>
        </w:rPr>
        <w:t>Section 4</w:t>
      </w:r>
      <w:r>
        <w:rPr>
          <w:rFonts w:ascii="Times New Roman;Times;serif" w:hAnsi="Times New Roman;Times;serif"/>
          <w:color w:val="000000"/>
          <w:sz w:val="20"/>
        </w:rPr>
        <w:t xml:space="preserve">.            </w:t>
      </w:r>
      <w:r>
        <w:rPr>
          <w:rFonts w:ascii="Times New Roman;Times;serif" w:hAnsi="Times New Roman;Times;serif"/>
          <w:color w:val="000000"/>
          <w:sz w:val="20"/>
          <w:u w:val="single"/>
        </w:rPr>
        <w:t>Transfer of Warrant</w:t>
      </w:r>
      <w:r>
        <w:rPr>
          <w:rFonts w:ascii="Times New Roman;Times;serif" w:hAnsi="Times New Roman;Times;serif"/>
          <w:color w:val="000000"/>
          <w:sz w:val="20"/>
        </w:rPr>
        <w:t>.</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a)          </w:t>
      </w:r>
      <w:r>
        <w:rPr>
          <w:rFonts w:ascii="Times New Roman;Times;serif" w:hAnsi="Times New Roman;Times;serif"/>
          <w:color w:val="000000"/>
          <w:sz w:val="20"/>
          <w:u w:val="single"/>
        </w:rPr>
        <w:t>Transferability</w:t>
      </w:r>
      <w:r>
        <w:rPr>
          <w:rFonts w:ascii="Times New Roman;Times;serif" w:hAnsi="Times New Roman;Times;serif"/>
          <w:color w:val="000000"/>
          <w:sz w:val="20"/>
        </w:rPr>
        <w:t>.  Subject to compliance with any applicable securities laws and the conditions set forth in Section 4(d) hereof and to the provisions of Section 4.1 of the Purchase Agreement, this Warrant and all rights hereunder (including, without limitation, any registration rights) are transferable, in whole or in part, upon surrender of this Warrant at the principal office of the Company or its designated agent, together with a written assignment of this Warrant substantially in the form attached hereto duly executed by the Holder or its agent or attorney and funds sufficient to pay any transfer taxes payable upon the making of such transfer.  Upon such surrender and, if required, such payment, the Company shall execute and deliver a new Warrant or Warrants in the name of the assignee or assignees, as applicable, and in the denomination or denominations specified in such instrument of assignment, and shall issue to the assignor a new Warrant evidencing the portion of this Warrant not so assigned, and this Warrant shall promptly be cancelled.  Notwithstanding anything herein to the contrary, the Holder shall not be required to physically surrender this Warrant to the Company unless the Holder has assigned this Warrant in full, in which case, the Holder shall surrender this Warrant to the Company within three (3) Trading Days of the date on which the Holder delivers an assignment form to the Company assigning this Warrant in full.  The Warrant, if properly assigned in accordance herewith, may be exercised by a new holder for the purchase of Warrant Shares without having a new Warrant issued.</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b)          </w:t>
      </w:r>
      <w:r>
        <w:rPr>
          <w:rFonts w:ascii="Times New Roman;Times;serif" w:hAnsi="Times New Roman;Times;serif"/>
          <w:color w:val="000000"/>
          <w:sz w:val="20"/>
          <w:u w:val="single"/>
        </w:rPr>
        <w:t>New Warrants</w:t>
      </w:r>
      <w:r>
        <w:rPr>
          <w:rFonts w:ascii="Times New Roman;Times;serif" w:hAnsi="Times New Roman;Times;serif"/>
          <w:color w:val="000000"/>
          <w:sz w:val="20"/>
        </w:rPr>
        <w:t>.  This Warrant may be divided or combined with other Warrants upon presentation hereof at the aforesaid office of the Company, together with a written notice specifying the names and denominations in which new Warrants are to be issued, signed by the Holder or its agent or attorney.  Subject to compliance with Section 4(a), as to any transfer which may be involved in such division or combination, the Company shall execute and deliver a new Warrant or Warrants in exchange for the Warrant or Warrants to be divided or combined in accordance with such notice.  All Warrants issued on transfers or exchanges shall be dated the initial issuance date of this Warrant and shall be identical with this Warrant except as to the number of Warrant Shares issuable pursuant thereto.</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8</w:t>
      </w:r>
    </w:p>
    <w:p>
      <w:pPr>
        <w:pStyle w:val="HorizontalLine"/>
        <w:pBdr>
          <w:bottom w:val="single" w:sz="12" w:space="0" w:color="808080"/>
        </w:pBdr>
        <w:bidi w:val="0"/>
        <w:spacing w:before="200" w:after="200"/>
        <w:jc w:val="left"/>
        <w:rPr/>
      </w:pPr>
      <w:r>
        <w:rPr/>
      </w:r>
    </w:p>
    <w:p>
      <w:pPr>
        <w:pStyle w:val="TextBody"/>
        <w:bidi w:val="0"/>
        <w:spacing w:lineRule="auto" w:line="300"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c)          </w:t>
      </w:r>
      <w:r>
        <w:rPr>
          <w:rFonts w:ascii="Times New Roman;Times;serif" w:hAnsi="Times New Roman;Times;serif"/>
          <w:color w:val="000000"/>
          <w:sz w:val="20"/>
          <w:u w:val="single"/>
        </w:rPr>
        <w:t>Warrant Register</w:t>
      </w:r>
      <w:r>
        <w:rPr>
          <w:rFonts w:ascii="Times New Roman;Times;serif" w:hAnsi="Times New Roman;Times;serif"/>
          <w:color w:val="000000"/>
          <w:sz w:val="20"/>
        </w:rPr>
        <w:t>.  The Company shall register this Warrant, upon records to be maintained by the Company for that purpose (the “</w:t>
      </w:r>
      <w:r>
        <w:rPr>
          <w:rFonts w:ascii="Times New Roman;Times;serif" w:hAnsi="Times New Roman;Times;serif"/>
          <w:color w:val="000000"/>
          <w:sz w:val="20"/>
          <w:u w:val="single"/>
        </w:rPr>
        <w:t>Warrant Register</w:t>
      </w:r>
      <w:r>
        <w:rPr>
          <w:rFonts w:ascii="Times New Roman;Times;serif" w:hAnsi="Times New Roman;Times;serif"/>
          <w:color w:val="000000"/>
          <w:sz w:val="20"/>
        </w:rPr>
        <w:t>”), in the name of the record Holder hereof from time to time.  The Company may deem and treat the registered Holder of this Warrant as the absolute owner hereof for the purpose of any exercise hereof or any distribution to the Holder, and for all other purposes, absent actual notice to the contrary.</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 xml:space="preserve">d)        </w:t>
      </w:r>
      <w:r>
        <w:rPr>
          <w:rFonts w:ascii="Times New Roman;Times;serif" w:hAnsi="Times New Roman;Times;serif"/>
          <w:color w:val="000000"/>
          <w:sz w:val="20"/>
          <w:u w:val="single"/>
        </w:rPr>
        <w:t>Transfer Restrictions</w:t>
      </w:r>
      <w:r>
        <w:rPr>
          <w:rFonts w:ascii="Times New Roman;Times;serif" w:hAnsi="Times New Roman;Times;serif"/>
          <w:color w:val="000000"/>
          <w:sz w:val="20"/>
        </w:rPr>
        <w:t>.  If, at the time of the surrender of this Warrant in connection with any transfer of this Warrant, the transfer of this Warrant shall not be either (i) registered pursuant to an effective registration statement under the Securities Act and under applicable state securities or blue sky laws or (ii) eligible for resale without volume or manner-of-sale restrictions or current public information requirements pursuant to Rule 144, the Company may require, as a condition of allowing such transfer, that the Holder or transferee of this Warrant, as the case may be, comply with the provisions of Section 5.7 of the Purchase Agreement.</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e)          </w:t>
      </w:r>
      <w:r>
        <w:rPr>
          <w:rFonts w:ascii="Times New Roman;Times;serif" w:hAnsi="Times New Roman;Times;serif"/>
          <w:color w:val="000000"/>
          <w:sz w:val="20"/>
          <w:u w:val="single"/>
        </w:rPr>
        <w:t>Representation by the Holder</w:t>
      </w:r>
      <w:r>
        <w:rPr>
          <w:rFonts w:ascii="Times New Roman;Times;serif" w:hAnsi="Times New Roman;Times;serif"/>
          <w:color w:val="000000"/>
          <w:sz w:val="20"/>
        </w:rPr>
        <w:t>.  The Holder, by the acceptance hereof, represents and warrants that it is acquiring this Warrant and, upon any exercise hereof, will acquire the Warrant Shares issuable upon such exercise, for its own account and not with a view to or for distributing or reselling such Warrant Shares or any part thereof in violation of the Securities Act or any applicable state securities law, except pursuant to sales registered or exempted under the Securities Act.</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u w:val="single"/>
        </w:rPr>
        <w:t>Section 5</w:t>
      </w:r>
      <w:r>
        <w:rPr>
          <w:rFonts w:ascii="Times New Roman;Times;serif" w:hAnsi="Times New Roman;Times;serif"/>
          <w:color w:val="000000"/>
          <w:sz w:val="20"/>
        </w:rPr>
        <w:t xml:space="preserve">.            </w:t>
      </w:r>
      <w:r>
        <w:rPr>
          <w:rFonts w:ascii="Times New Roman;Times;serif" w:hAnsi="Times New Roman;Times;serif"/>
          <w:color w:val="000000"/>
          <w:sz w:val="20"/>
          <w:u w:val="single"/>
        </w:rPr>
        <w:t>Miscellaneous</w:t>
      </w:r>
      <w:r>
        <w:rPr>
          <w:rFonts w:ascii="Times New Roman;Times;serif" w:hAnsi="Times New Roman;Times;serif"/>
          <w:color w:val="000000"/>
          <w:sz w:val="20"/>
        </w:rPr>
        <w:t>.</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a)          </w:t>
      </w:r>
      <w:r>
        <w:rPr>
          <w:rFonts w:ascii="Times New Roman;Times;serif" w:hAnsi="Times New Roman;Times;serif"/>
          <w:color w:val="000000"/>
          <w:sz w:val="20"/>
          <w:u w:val="single"/>
        </w:rPr>
        <w:t>No Rights as Shareholder Until Exercise; No Settlement in Cash</w:t>
      </w:r>
      <w:r>
        <w:rPr>
          <w:rFonts w:ascii="Times New Roman;Times;serif" w:hAnsi="Times New Roman;Times;serif"/>
          <w:color w:val="000000"/>
          <w:sz w:val="20"/>
        </w:rPr>
        <w:t>.  This Warrant does not entitle the Holder to any voting rights, dividends or other rights as a shareholder of the Company prior to the exercise hereof as set forth in Section 2(d)(i), except as expressly set forth in Section 3.  Without limiting any rights of a Holder to receive Warrant Shares on a “cashless exercise” pursuant to Section 2(c) or to receive cash payments pursuant to Section 2(d)(i) and Section 2(d)(iv) herein, in no event shall the Company be required to net cash settle an exercise of this Warrant.</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b)          </w:t>
      </w:r>
      <w:r>
        <w:rPr>
          <w:rFonts w:ascii="Times New Roman;Times;serif" w:hAnsi="Times New Roman;Times;serif"/>
          <w:color w:val="000000"/>
          <w:sz w:val="20"/>
          <w:u w:val="single"/>
        </w:rPr>
        <w:t>Loss, Theft, Destruction or Mutilation of Warrant</w:t>
      </w:r>
      <w:r>
        <w:rPr>
          <w:rFonts w:ascii="Times New Roman;Times;serif" w:hAnsi="Times New Roman;Times;serif"/>
          <w:color w:val="000000"/>
          <w:sz w:val="20"/>
        </w:rPr>
        <w:t>.  The Company covenants that upon receipt by the Company of evidence reasonably satisfactory to it of the loss, theft, destruction or mutilation of this Warrant or any share certificate relating to the Warrant Shares, and in case of loss, theft or destruction, of indemnity or security reasonably satisfactory to it (which, in the case of the Warrant, shall not include the posting of any bond), and upon surrender and cancellation of such Warrant or share certificate, if mutilated, the Company will make and deliver a new Warrant or share certificate of like tenor and dated as of such cancellation, in lieu of such Warrant or share certificate.</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9</w:t>
      </w:r>
    </w:p>
    <w:p>
      <w:pPr>
        <w:pStyle w:val="HorizontalLine"/>
        <w:pBdr>
          <w:bottom w:val="single" w:sz="12" w:space="0" w:color="808080"/>
        </w:pBdr>
        <w:bidi w:val="0"/>
        <w:spacing w:before="200" w:after="200"/>
        <w:jc w:val="left"/>
        <w:rPr/>
      </w:pPr>
      <w:r>
        <w:rPr/>
      </w:r>
    </w:p>
    <w:p>
      <w:pPr>
        <w:pStyle w:val="TextBody"/>
        <w:bidi w:val="0"/>
        <w:spacing w:lineRule="auto" w:line="300"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c)          </w:t>
      </w:r>
      <w:r>
        <w:rPr>
          <w:rFonts w:ascii="Times New Roman;Times;serif" w:hAnsi="Times New Roman;Times;serif"/>
          <w:color w:val="000000"/>
          <w:sz w:val="20"/>
          <w:u w:val="single"/>
        </w:rPr>
        <w:t>Saturdays, Sundays, Holidays, etc</w:t>
      </w:r>
      <w:r>
        <w:rPr>
          <w:rFonts w:ascii="Times New Roman;Times;serif" w:hAnsi="Times New Roman;Times;serif"/>
          <w:color w:val="000000"/>
          <w:sz w:val="20"/>
        </w:rPr>
        <w:t>.  If the last or appointed day for the taking of any action or the expiration of any right required or granted herein shall not be a Trading Day, then such action may be taken or such right may be exercised on the next succeeding Trading Day.</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d)          </w:t>
      </w:r>
      <w:r>
        <w:rPr>
          <w:rFonts w:ascii="Times New Roman;Times;serif" w:hAnsi="Times New Roman;Times;serif"/>
          <w:color w:val="000000"/>
          <w:sz w:val="20"/>
          <w:u w:val="single"/>
        </w:rPr>
        <w:t>Authorized Shares</w:t>
      </w:r>
      <w:r>
        <w:rPr>
          <w:rFonts w:ascii="Times New Roman;Times;serif" w:hAnsi="Times New Roman;Times;serif"/>
          <w:color w:val="000000"/>
          <w:sz w:val="20"/>
        </w:rPr>
        <w:t>.</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1440" w:right="0" w:firstLine="720"/>
        <w:jc w:val="both"/>
        <w:rPr>
          <w:rFonts w:ascii="Times New Roman;Times;serif" w:hAnsi="Times New Roman;Times;serif"/>
          <w:color w:val="000000"/>
          <w:sz w:val="20"/>
        </w:rPr>
      </w:pPr>
      <w:r>
        <w:rPr>
          <w:rFonts w:ascii="Times New Roman;Times;serif" w:hAnsi="Times New Roman;Times;serif"/>
          <w:color w:val="000000"/>
          <w:sz w:val="20"/>
        </w:rPr>
        <w:t>The Company covenants that, during the period the Warrant is outstanding, it will reserve from its authorized and unissued Ordinary Shares a sufficient number of shares to provide for the issuance of the Warrant Shares upon the exercise of any purchase rights under this Warrant.  The Company further covenants that its issuance of this Warrant shall constitute full authority to its officers who are charged with the duty of issuing the necessary Warrant Shares upon the exercise of the purchase rights under this Warrant.  The Company will take all such reasonable action as may be necessary to assure that such Warrant Shares may be issued as provided herein without violation of any applicable law or regulation, or of any requirements of the Trading Market upon which the Ordinary Shares may be listed.  The Company covenants that all Warrant Shares which may be issued upon the exercise of the purchase rights represented by this Warrant will, upon exercise of the purchase rights represented by this Warrant and payment for such Warrant Shares in accordance herewith, be duly authorized, validly issued, fully paid and nonassessable and free from all taxes, liens and charges created by the Company in respect of the issue thereof (other than taxes in respect of any transfer occurring contemporaneously with such issue).</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1440" w:right="0" w:firstLine="720"/>
        <w:jc w:val="both"/>
        <w:rPr>
          <w:rFonts w:ascii="Times New Roman;Times;serif" w:hAnsi="Times New Roman;Times;serif"/>
          <w:color w:val="000000"/>
          <w:sz w:val="20"/>
        </w:rPr>
      </w:pPr>
      <w:r>
        <w:rPr>
          <w:rFonts w:ascii="Times New Roman;Times;serif" w:hAnsi="Times New Roman;Times;serif"/>
          <w:color w:val="000000"/>
          <w:sz w:val="20"/>
        </w:rPr>
        <w:t>Except and to the extent as waived or consented to by the Holder, the Company shall not by any action, including, without limitation, amending its articles of association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(i) not increase the par value of any Warrant Shares above the amount payable therefor upon such exercise immediately prior to such increase in par value, (ii) take all such action as may be necessary or appropriate in order that the Company may validly and legally issue fully paid and nonassessable Warrant Shares upon the exercise of this Warrant and (iii) use commercially reasonable efforts to obtain all such authorizations, exemptions or consents from any public regulatory body having jurisdiction thereof, as may be, necessary to enable the Company to perform its obligations under this Warrant.</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10</w:t>
      </w:r>
    </w:p>
    <w:p>
      <w:pPr>
        <w:pStyle w:val="HorizontalLine"/>
        <w:pBdr>
          <w:bottom w:val="single" w:sz="12" w:space="0" w:color="808080"/>
        </w:pBdr>
        <w:bidi w:val="0"/>
        <w:spacing w:before="200" w:after="200"/>
        <w:jc w:val="left"/>
        <w:rPr/>
      </w:pPr>
      <w:r>
        <w:rPr/>
      </w:r>
    </w:p>
    <w:p>
      <w:pPr>
        <w:pStyle w:val="TextBody"/>
        <w:bidi w:val="0"/>
        <w:spacing w:lineRule="auto" w:line="300" w:before="0" w:after="0"/>
        <w:ind w:left="1440" w:right="0" w:firstLine="720"/>
        <w:jc w:val="both"/>
        <w:rPr>
          <w:rFonts w:ascii="Times New Roman;Times;serif" w:hAnsi="Times New Roman;Times;serif"/>
          <w:color w:val="000000"/>
          <w:sz w:val="20"/>
        </w:rPr>
      </w:pPr>
      <w:r>
        <w:rPr>
          <w:rFonts w:ascii="Times New Roman;Times;serif" w:hAnsi="Times New Roman;Times;serif"/>
          <w:color w:val="000000"/>
          <w:sz w:val="20"/>
        </w:rPr>
        <w:t>Before taking any action which would result in an adjustment in the number of Warrant Shares for which this Warrant is exercisable or in the Exercise Price, the Company shall obtain all such authorizations or exemptions thereof, or consents thereto, as may be necessary from any public regulatory body or bodies having jurisdiction thereof.</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e)          </w:t>
      </w:r>
      <w:r>
        <w:rPr>
          <w:rFonts w:ascii="Times New Roman;Times;serif" w:hAnsi="Times New Roman;Times;serif"/>
          <w:color w:val="000000"/>
          <w:sz w:val="20"/>
          <w:u w:val="single"/>
        </w:rPr>
        <w:t>Jurisdiction</w:t>
      </w:r>
      <w:r>
        <w:rPr>
          <w:rFonts w:ascii="Times New Roman;Times;serif" w:hAnsi="Times New Roman;Times;serif"/>
          <w:color w:val="000000"/>
          <w:sz w:val="20"/>
        </w:rPr>
        <w:t>.  All questions concerning the construction, validity, enforcement and interpretation of this Warrant shall be determined in accordance with the provisions of the Purchase Agreement.</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f)          </w:t>
      </w:r>
      <w:r>
        <w:rPr>
          <w:rFonts w:ascii="Times New Roman;Times;serif" w:hAnsi="Times New Roman;Times;serif"/>
          <w:color w:val="000000"/>
          <w:sz w:val="20"/>
          <w:u w:val="single"/>
        </w:rPr>
        <w:t>Restrictions</w:t>
      </w:r>
      <w:r>
        <w:rPr>
          <w:rFonts w:ascii="Times New Roman;Times;serif" w:hAnsi="Times New Roman;Times;serif"/>
          <w:color w:val="000000"/>
          <w:sz w:val="20"/>
        </w:rPr>
        <w:t>.  The Holder acknowledges that the Warrant Shares acquired upon the exercise of this Warrant, if not registered, and the Holder does not utilize cashless exercise, will have restrictions upon resale imposed by state and federal securities laws.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g)          </w:t>
      </w:r>
      <w:r>
        <w:rPr>
          <w:rFonts w:ascii="Times New Roman;Times;serif" w:hAnsi="Times New Roman;Times;serif"/>
          <w:color w:val="000000"/>
          <w:sz w:val="20"/>
          <w:u w:val="single"/>
        </w:rPr>
        <w:t>Nonwaiver and Expenses</w:t>
      </w:r>
      <w:r>
        <w:rPr>
          <w:rFonts w:ascii="Times New Roman;Times;serif" w:hAnsi="Times New Roman;Times;serif"/>
          <w:color w:val="000000"/>
          <w:sz w:val="20"/>
        </w:rPr>
        <w:t>.  No course of dealing or any delay or failure to exercise any right hereunder on the part of Holder shall operate as a waiver of such right or otherwise prejudice the Holder’s rights, powers or remedies, notwithstanding the fact that the right to exercise this Warrant terminates on the Termination Date.  Without limiting any other provision of this Warrant or the Purchase Agreement, if the Company willfully and knowingly fails to comply with any provision of this Warrant, which results in any material damages to the Holder, the Company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 hereunder.</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h)          </w:t>
      </w:r>
      <w:r>
        <w:rPr>
          <w:rFonts w:ascii="Times New Roman;Times;serif" w:hAnsi="Times New Roman;Times;serif"/>
          <w:color w:val="000000"/>
          <w:sz w:val="20"/>
          <w:u w:val="single"/>
        </w:rPr>
        <w:t>Notices</w:t>
      </w:r>
      <w:r>
        <w:rPr>
          <w:rFonts w:ascii="Times New Roman;Times;serif" w:hAnsi="Times New Roman;Times;serif"/>
          <w:color w:val="000000"/>
          <w:sz w:val="20"/>
        </w:rPr>
        <w:t>.  Any notice, request or other document required or permitted to be given or delivered to the Holder by the Company shall be delivered in accordance with the notice provisions of the Purchase Agreement.</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 xml:space="preserve">i)        </w:t>
      </w:r>
      <w:r>
        <w:rPr>
          <w:rFonts w:ascii="Times New Roman;Times;serif" w:hAnsi="Times New Roman;Times;serif"/>
          <w:color w:val="000000"/>
          <w:sz w:val="20"/>
          <w:u w:val="single"/>
        </w:rPr>
        <w:t>Limitation of Liability</w:t>
      </w:r>
      <w:r>
        <w:rPr>
          <w:rFonts w:ascii="Times New Roman;Times;serif" w:hAnsi="Times New Roman;Times;serif"/>
          <w:color w:val="000000"/>
          <w:sz w:val="20"/>
        </w:rPr>
        <w:t>.  No provision hereof, in the absence of any affirmative action by the Holder to exercise this Warrant to purchase Warrant Shares, and no enumeration herein of the rights or privileges of the Holder, shall give rise to any liability of the Holder for the purchase price of any Ordinary Shares or as a shareholder of the Company, whether such liability is asserted by the Company or by creditors of the Company.</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j)          </w:t>
      </w:r>
      <w:r>
        <w:rPr>
          <w:rFonts w:ascii="Times New Roman;Times;serif" w:hAnsi="Times New Roman;Times;serif"/>
          <w:color w:val="000000"/>
          <w:sz w:val="20"/>
          <w:u w:val="single"/>
        </w:rPr>
        <w:t>Remedies</w:t>
      </w:r>
      <w:r>
        <w:rPr>
          <w:rFonts w:ascii="Times New Roman;Times;serif" w:hAnsi="Times New Roman;Times;serif"/>
          <w:color w:val="000000"/>
          <w:sz w:val="20"/>
        </w:rPr>
        <w:t>.  The Holder, in addition to being entitled to exercise all rights granted by law, including recovery of damages, will be entitled to specific performance of its rights under this Warrant.  The Company agrees that monetary damages would not be adequate compensation for any loss incurred by reason of a breach by it of the provisions of this Warrant and hereby agrees to waive and not to assert the defense in any action for specific performance that a remedy at law would be adequate.</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k)          </w:t>
      </w:r>
      <w:r>
        <w:rPr>
          <w:rFonts w:ascii="Times New Roman;Times;serif" w:hAnsi="Times New Roman;Times;serif"/>
          <w:color w:val="000000"/>
          <w:sz w:val="20"/>
          <w:u w:val="single"/>
        </w:rPr>
        <w:t>Successors and Assigns</w:t>
      </w:r>
      <w:r>
        <w:rPr>
          <w:rFonts w:ascii="Times New Roman;Times;serif" w:hAnsi="Times New Roman;Times;serif"/>
          <w:color w:val="000000"/>
          <w:sz w:val="20"/>
        </w:rPr>
        <w:t>.  Subject to applicable securities laws, this Warrant and the rights and obligations evidenced hereby shall inure to the benefit of and be binding upon the successors and permitted assigns of the Company and the successors and permitted assigns of Holder.  The provisions of this Warrant are intended to be for the benefit of any Holder from time to time of this Warrant and shall be enforceable by the Holder or holder of Warrant Shares.</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11</w:t>
      </w:r>
    </w:p>
    <w:p>
      <w:pPr>
        <w:pStyle w:val="HorizontalLine"/>
        <w:pBdr>
          <w:bottom w:val="single" w:sz="12" w:space="0" w:color="808080"/>
        </w:pBdr>
        <w:bidi w:val="0"/>
        <w:spacing w:before="200" w:after="200"/>
        <w:jc w:val="left"/>
        <w:rPr/>
      </w:pPr>
      <w:r>
        <w:rPr/>
      </w:r>
    </w:p>
    <w:p>
      <w:pPr>
        <w:pStyle w:val="TextBody"/>
        <w:bidi w:val="0"/>
        <w:spacing w:lineRule="auto" w:line="300"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l)          </w:t>
      </w:r>
      <w:r>
        <w:rPr>
          <w:rFonts w:ascii="Times New Roman;Times;serif" w:hAnsi="Times New Roman;Times;serif"/>
          <w:color w:val="000000"/>
          <w:sz w:val="20"/>
          <w:u w:val="single"/>
        </w:rPr>
        <w:t>Amendment</w:t>
      </w:r>
      <w:r>
        <w:rPr>
          <w:rFonts w:ascii="Times New Roman;Times;serif" w:hAnsi="Times New Roman;Times;serif"/>
          <w:color w:val="000000"/>
          <w:sz w:val="20"/>
        </w:rPr>
        <w:t>.  Other than Section 2(e) and this Section 5(l), which may not be modified, amended or waived, this Warrant may be modified or amended or the provisions hereof waived with the written consent of the Company, on the one hand, and the Holder of this Warrant, on the other hand.  Additionally, any waiver to any of the Warrants by the Required Holder, or any amendment to the Warrants as agreed upon in writing by the Company and the Required Holder, shall automatically apply to this Warrant.</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 xml:space="preserve">m)        </w:t>
      </w:r>
      <w:r>
        <w:rPr>
          <w:rFonts w:ascii="Times New Roman;Times;serif" w:hAnsi="Times New Roman;Times;serif"/>
          <w:color w:val="000000"/>
          <w:sz w:val="20"/>
          <w:u w:val="single"/>
        </w:rPr>
        <w:t>Severability</w:t>
      </w:r>
      <w:r>
        <w:rPr>
          <w:rFonts w:ascii="Times New Roman;Times;serif" w:hAnsi="Times New Roman;Times;serif"/>
          <w:color w:val="000000"/>
          <w:sz w:val="20"/>
        </w:rPr>
        <w:t>.  Wherever possible, each provision of this Warrant shall be interpreted in such manner as to be effective and valid under applicable law, but if any provision of this Warrant shall be prohibited by or invalid under applicable law, such provision shall be ineffective to the extent of such prohibition or invalidity, without invalidating the remainder of such provisions or the remaining provisions of this Warrant.</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n)          </w:t>
      </w:r>
      <w:r>
        <w:rPr>
          <w:rFonts w:ascii="Times New Roman;Times;serif" w:hAnsi="Times New Roman;Times;serif"/>
          <w:color w:val="000000"/>
          <w:sz w:val="20"/>
          <w:u w:val="single"/>
        </w:rPr>
        <w:t>Headings</w:t>
      </w:r>
      <w:r>
        <w:rPr>
          <w:rFonts w:ascii="Times New Roman;Times;serif" w:hAnsi="Times New Roman;Times;serif"/>
          <w:color w:val="000000"/>
          <w:sz w:val="20"/>
        </w:rPr>
        <w:t>.  The headings used in this Warrant are for the convenience of reference only and shall not, for any purpose, be deemed a part of this Warrant.</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center"/>
        <w:rPr>
          <w:rFonts w:ascii="Times New Roman;Times;serif" w:hAnsi="Times New Roman;Times;serif"/>
          <w:color w:val="000000"/>
          <w:sz w:val="20"/>
        </w:rPr>
      </w:pPr>
      <w:r>
        <w:rPr>
          <w:rFonts w:ascii="Times New Roman;Times;serif" w:hAnsi="Times New Roman;Times;serif"/>
          <w:color w:val="000000"/>
          <w:sz w:val="20"/>
        </w:rPr>
        <w:t>********************</w:t>
      </w:r>
    </w:p>
    <w:p>
      <w:pPr>
        <w:pStyle w:val="TextBody"/>
        <w:bidi w:val="0"/>
        <w:spacing w:lineRule="auto" w:line="300" w:before="0" w:after="0"/>
        <w:jc w:val="left"/>
        <w:rPr/>
      </w:pPr>
      <w:r>
        <w:rPr/>
      </w:r>
    </w:p>
    <w:p>
      <w:pPr>
        <w:pStyle w:val="TextBody"/>
        <w:bidi w:val="0"/>
        <w:spacing w:lineRule="auto" w:line="300" w:before="0" w:after="0"/>
        <w:jc w:val="center"/>
        <w:rPr>
          <w:rFonts w:ascii="Times New Roman;Times;serif" w:hAnsi="Times New Roman;Times;serif"/>
          <w:i/>
          <w:color w:val="000000"/>
          <w:sz w:val="20"/>
        </w:rPr>
      </w:pPr>
      <w:r>
        <w:rPr>
          <w:rFonts w:ascii="Times New Roman;Times;serif" w:hAnsi="Times New Roman;Times;serif"/>
          <w:i/>
          <w:color w:val="000000"/>
          <w:sz w:val="20"/>
        </w:rPr>
        <w:t>(Signature Page Follows)</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12</w:t>
      </w:r>
    </w:p>
    <w:p>
      <w:pPr>
        <w:pStyle w:val="HorizontalLine"/>
        <w:pBdr>
          <w:bottom w:val="single" w:sz="12" w:space="0" w:color="808080"/>
        </w:pBdr>
        <w:bidi w:val="0"/>
        <w:spacing w:before="200" w:after="200"/>
        <w:jc w:val="left"/>
        <w:rPr/>
      </w:pPr>
      <w:r>
        <w:rPr/>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IN WITNESS WHEREOF, the Company has caused this Amended and Restated Warrant to be executed by its officer thereunto duly authorized as of the date first above indicated.</w:t>
      </w:r>
    </w:p>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40" w:name="z930034c9382b4d6da9605d465aa37075"/>
      <w:bookmarkStart w:id="41" w:name="z930034c9382b4d6da9605d465aa37075"/>
      <w:bookmarkEnd w:id="41"/>
    </w:p>
    <w:tbl>
      <w:tblPr>
        <w:tblW w:w="4835" w:type="dxa"/>
        <w:jc w:val="left"/>
        <w:tblInd w:w="0" w:type="dxa"/>
        <w:tblLayout w:type="fixed"/>
        <w:tblCellMar>
          <w:top w:w="0" w:type="dxa"/>
          <w:left w:w="0" w:type="dxa"/>
          <w:bottom w:w="0" w:type="dxa"/>
          <w:right w:w="0" w:type="dxa"/>
        </w:tblCellMar>
      </w:tblPr>
      <w:tblGrid>
        <w:gridCol w:w="60"/>
        <w:gridCol w:w="4775"/>
      </w:tblGrid>
      <w:tr>
        <w:trPr/>
        <w:tc>
          <w:tcPr>
            <w:tcW w:w="60" w:type="dxa"/>
            <w:tcBorders/>
            <w:vAlign w:val="center"/>
          </w:tcPr>
          <w:p>
            <w:pPr>
              <w:pStyle w:val="TableContents"/>
              <w:bidi w:val="0"/>
              <w:spacing w:before="0" w:after="283"/>
              <w:jc w:val="left"/>
              <w:rPr/>
            </w:pPr>
            <w:r>
              <w:rPr/>
              <w:t> </w:t>
            </w:r>
          </w:p>
        </w:tc>
        <w:tc>
          <w:tcPr>
            <w:tcW w:w="4775" w:type="dxa"/>
            <w:tcBorders/>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LIFEWARD LTD.</w:t>
            </w:r>
          </w:p>
        </w:tc>
      </w:tr>
      <w:tr>
        <w:trPr/>
        <w:tc>
          <w:tcPr>
            <w:tcW w:w="60" w:type="dxa"/>
            <w:tcBorders/>
            <w:vAlign w:val="center"/>
          </w:tcPr>
          <w:p>
            <w:pPr>
              <w:pStyle w:val="TableContents"/>
              <w:bidi w:val="0"/>
              <w:spacing w:before="0" w:after="283"/>
              <w:jc w:val="left"/>
              <w:rPr/>
            </w:pPr>
            <w:r>
              <w:rPr/>
              <w:t> </w:t>
            </w:r>
          </w:p>
        </w:tc>
        <w:tc>
          <w:tcPr>
            <w:tcW w:w="477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477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By: __________________________________________</w:t>
            </w:r>
          </w:p>
          <w:p>
            <w:pPr>
              <w:pStyle w:val="TableContents"/>
              <w:bidi w:val="0"/>
              <w:spacing w:lineRule="auto" w:line="300" w:before="0" w:after="0"/>
              <w:ind w:left="360" w:right="0" w:hanging="0"/>
              <w:jc w:val="left"/>
              <w:rPr>
                <w:rFonts w:ascii="Times New Roman;Times;serif" w:hAnsi="Times New Roman;Times;serif"/>
                <w:sz w:val="20"/>
              </w:rPr>
            </w:pPr>
            <w:r>
              <w:rPr>
                <w:rFonts w:ascii="Times New Roman;Times;serif" w:hAnsi="Times New Roman;Times;serif"/>
                <w:sz w:val="20"/>
              </w:rPr>
              <w:t>Name: William Mark Grant</w:t>
            </w:r>
          </w:p>
          <w:p>
            <w:pPr>
              <w:pStyle w:val="TableContents"/>
              <w:bidi w:val="0"/>
              <w:spacing w:lineRule="auto" w:line="300" w:before="0" w:after="0"/>
              <w:ind w:left="360" w:right="0" w:hanging="0"/>
              <w:jc w:val="left"/>
              <w:rPr>
                <w:rFonts w:ascii="Times New Roman;Times;serif" w:hAnsi="Times New Roman;Times;serif"/>
                <w:sz w:val="20"/>
              </w:rPr>
            </w:pPr>
            <w:r>
              <w:rPr>
                <w:rFonts w:ascii="Times New Roman;Times;serif" w:hAnsi="Times New Roman;Times;serif"/>
                <w:sz w:val="20"/>
              </w:rPr>
              <w:t>Title:   President and Chief Executive Officer</w:t>
            </w:r>
          </w:p>
        </w:tc>
      </w:tr>
    </w:tbl>
    <w:p>
      <w:pPr>
        <w:pStyle w:val="TextBody"/>
        <w:bidi w:val="0"/>
        <w:spacing w:lineRule="auto" w:line="300" w:before="0" w:after="0"/>
        <w:jc w:val="left"/>
        <w:rPr/>
      </w:pPr>
      <w:r>
        <w:rPr/>
      </w:r>
    </w:p>
    <w:p>
      <w:pPr>
        <w:pStyle w:val="TextBody"/>
        <w:bidi w:val="0"/>
        <w:spacing w:lineRule="auto" w:line="300" w:before="0" w:after="0"/>
        <w:jc w:val="center"/>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i/>
          <w:color w:val="000000"/>
          <w:sz w:val="20"/>
        </w:rPr>
        <w:t>Signature Page to A&amp;R Warrant (Oramed)</w:t>
      </w:r>
      <w:r>
        <w:rPr>
          <w:rFonts w:ascii="Times New Roman;Times;serif" w:hAnsi="Times New Roman;Times;serif"/>
          <w:color w:val="000000"/>
          <w:sz w:val="20"/>
        </w:rPr>
        <w:t>]</w:t>
      </w:r>
    </w:p>
    <w:p>
      <w:pPr>
        <w:pStyle w:val="TextBody"/>
        <w:bidi w:val="0"/>
        <w:spacing w:lineRule="auto" w:line="300" w:before="0" w:after="0"/>
        <w:jc w:val="left"/>
        <w:rPr/>
      </w:pPr>
      <w:r>
        <w:rPr/>
      </w:r>
    </w:p>
    <w:p>
      <w:pPr>
        <w:pStyle w:val="HorizontalLine"/>
        <w:pBdr>
          <w:bottom w:val="single" w:sz="12" w:space="0" w:color="808080"/>
        </w:pBdr>
        <w:bidi w:val="0"/>
        <w:spacing w:before="200" w:after="200"/>
        <w:jc w:val="left"/>
        <w:rPr/>
      </w:pPr>
      <w:r>
        <w:rPr/>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Acknowledged and Agreed:</w:t>
      </w:r>
    </w:p>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42" w:name="z2f08e202504743d4ae962e7d34e615ab"/>
      <w:bookmarkStart w:id="43" w:name="z2f08e202504743d4ae962e7d34e615ab"/>
      <w:bookmarkEnd w:id="43"/>
    </w:p>
    <w:tbl>
      <w:tblPr>
        <w:tblW w:w="4760" w:type="dxa"/>
        <w:jc w:val="left"/>
        <w:tblInd w:w="0" w:type="dxa"/>
        <w:tblLayout w:type="fixed"/>
        <w:tblCellMar>
          <w:top w:w="0" w:type="dxa"/>
          <w:left w:w="0" w:type="dxa"/>
          <w:bottom w:w="0" w:type="dxa"/>
          <w:right w:w="0" w:type="dxa"/>
        </w:tblCellMar>
      </w:tblPr>
      <w:tblGrid>
        <w:gridCol w:w="4760"/>
      </w:tblGrid>
      <w:tr>
        <w:trPr/>
        <w:tc>
          <w:tcPr>
            <w:tcW w:w="4760" w:type="dxa"/>
            <w:tcBorders/>
            <w:vAlign w:val="center"/>
          </w:tcPr>
          <w:p>
            <w:pPr>
              <w:pStyle w:val="TableContents"/>
              <w:bidi w:val="0"/>
              <w:spacing w:lineRule="auto" w:line="300" w:before="0" w:after="0"/>
              <w:jc w:val="both"/>
              <w:rPr>
                <w:rFonts w:ascii="Times New Roman;Times;serif" w:hAnsi="Times New Roman;Times;serif"/>
                <w:b/>
                <w:sz w:val="20"/>
              </w:rPr>
            </w:pPr>
            <w:r>
              <w:rPr>
                <w:rFonts w:ascii="Times New Roman;Times;serif" w:hAnsi="Times New Roman;Times;serif"/>
                <w:b/>
                <w:sz w:val="20"/>
              </w:rPr>
              <w:t>ORAMED PHARMACEUTICALS INC.</w:t>
            </w:r>
          </w:p>
        </w:tc>
      </w:tr>
      <w:tr>
        <w:trPr/>
        <w:tc>
          <w:tcPr>
            <w:tcW w:w="4760" w:type="dxa"/>
            <w:tcBorders/>
            <w:vAlign w:val="center"/>
          </w:tcPr>
          <w:p>
            <w:pPr>
              <w:pStyle w:val="TableContents"/>
              <w:bidi w:val="0"/>
              <w:spacing w:before="0" w:after="283"/>
              <w:jc w:val="left"/>
              <w:rPr/>
            </w:pPr>
            <w:r>
              <w:rPr/>
              <w:t> </w:t>
            </w:r>
          </w:p>
        </w:tc>
      </w:tr>
      <w:tr>
        <w:trPr/>
        <w:tc>
          <w:tcPr>
            <w:tcW w:w="476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By:__________________________________________</w:t>
            </w:r>
          </w:p>
          <w:p>
            <w:pPr>
              <w:pStyle w:val="TableContents"/>
              <w:bidi w:val="0"/>
              <w:spacing w:lineRule="auto" w:line="300" w:before="0" w:after="0"/>
              <w:ind w:left="360" w:right="0" w:hanging="0"/>
              <w:jc w:val="left"/>
              <w:rPr>
                <w:rFonts w:ascii="Times New Roman;Times;serif" w:hAnsi="Times New Roman;Times;serif"/>
                <w:sz w:val="20"/>
              </w:rPr>
            </w:pPr>
            <w:r>
              <w:rPr>
                <w:rFonts w:ascii="Times New Roman;Times;serif" w:hAnsi="Times New Roman;Times;serif"/>
                <w:sz w:val="20"/>
              </w:rPr>
              <w:t>Name:</w:t>
            </w:r>
          </w:p>
          <w:p>
            <w:pPr>
              <w:pStyle w:val="TableContents"/>
              <w:bidi w:val="0"/>
              <w:spacing w:lineRule="auto" w:line="300" w:before="0" w:after="0"/>
              <w:ind w:left="360" w:right="0" w:hanging="0"/>
              <w:jc w:val="left"/>
              <w:rPr>
                <w:rFonts w:ascii="Times New Roman;Times;serif" w:hAnsi="Times New Roman;Times;serif"/>
                <w:sz w:val="20"/>
              </w:rPr>
            </w:pPr>
            <w:r>
              <w:rPr>
                <w:rFonts w:ascii="Times New Roman;Times;serif" w:hAnsi="Times New Roman;Times;serif"/>
                <w:sz w:val="20"/>
              </w:rPr>
              <w:t>Title:</w:t>
            </w:r>
          </w:p>
        </w:tc>
      </w:tr>
    </w:tbl>
    <w:p>
      <w:pPr>
        <w:pStyle w:val="TextBody"/>
        <w:bidi w:val="0"/>
        <w:spacing w:lineRule="auto" w:line="300" w:before="0" w:after="0"/>
        <w:jc w:val="left"/>
        <w:rPr/>
      </w:pPr>
      <w:r>
        <w:rPr/>
      </w:r>
    </w:p>
    <w:p>
      <w:pPr>
        <w:pStyle w:val="TextBody"/>
        <w:bidi w:val="0"/>
        <w:spacing w:lineRule="auto" w:line="300" w:before="0" w:after="0"/>
        <w:jc w:val="center"/>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i/>
          <w:color w:val="000000"/>
          <w:sz w:val="20"/>
        </w:rPr>
        <w:t>Signature Page to A&amp;R Warrant (Oramed)</w:t>
      </w:r>
      <w:r>
        <w:rPr>
          <w:rFonts w:ascii="Times New Roman;Times;serif" w:hAnsi="Times New Roman;Times;serif"/>
          <w:color w:val="000000"/>
          <w:sz w:val="20"/>
        </w:rPr>
        <w:t>]</w:t>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NOTICE OF EXERCISE</w:t>
      </w:r>
    </w:p>
    <w:p>
      <w:pPr>
        <w:pStyle w:val="TextBody"/>
        <w:bidi w:val="0"/>
        <w:spacing w:lineRule="auto" w:line="300" w:before="0" w:after="0"/>
        <w:jc w:val="left"/>
        <w:rPr/>
      </w:pPr>
      <w:r>
        <w:rPr/>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TO:          [_______________________]</w:t>
      </w:r>
    </w:p>
    <w:p>
      <w:pPr>
        <w:pStyle w:val="TextBody"/>
        <w:bidi w:val="0"/>
        <w:spacing w:lineRule="auto" w:line="300" w:before="0" w:after="0"/>
        <w:jc w:val="left"/>
        <w:rPr/>
      </w:pPr>
      <w:r>
        <w:rPr/>
      </w:r>
    </w:p>
    <w:p>
      <w:pPr>
        <w:pStyle w:val="TextBody"/>
        <w:bidi w:val="0"/>
        <w:spacing w:lineRule="auto" w:line="300" w:before="0" w:after="0"/>
        <w:ind w:left="0" w:right="0" w:firstLine="1440"/>
        <w:jc w:val="both"/>
        <w:rPr>
          <w:rFonts w:ascii="Times New Roman;Times;serif" w:hAnsi="Times New Roman;Times;serif"/>
          <w:color w:val="000000"/>
          <w:sz w:val="20"/>
        </w:rPr>
      </w:pPr>
      <w:r>
        <w:rPr>
          <w:rFonts w:ascii="Times New Roman;Times;serif" w:hAnsi="Times New Roman;Times;serif"/>
          <w:color w:val="000000"/>
          <w:sz w:val="20"/>
        </w:rPr>
        <w:t>(1)         The undersigned hereby elects to purchase ________ Warrant Shares of the Company pursuant to the terms of the attached Warrant (only if exercised in full), and tenders herewith payment of the exercise price in full, together with all applicable transfer taxes, if any.</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1440"/>
        <w:jc w:val="both"/>
        <w:rPr>
          <w:rFonts w:ascii="Times New Roman;Times;serif" w:hAnsi="Times New Roman;Times;serif"/>
          <w:color w:val="000000"/>
          <w:sz w:val="20"/>
        </w:rPr>
      </w:pPr>
      <w:r>
        <w:rPr>
          <w:rFonts w:ascii="Times New Roman;Times;serif" w:hAnsi="Times New Roman;Times;serif"/>
          <w:color w:val="000000"/>
          <w:sz w:val="20"/>
        </w:rPr>
        <w:t>(2)          Payment shall take the form of (check applicable box):</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2160" w:right="0" w:hanging="0"/>
        <w:jc w:val="both"/>
        <w:rPr>
          <w:rFonts w:ascii="Times New Roman;Times;serif" w:hAnsi="Times New Roman;Times;serif"/>
          <w:color w:val="000000"/>
          <w:sz w:val="20"/>
        </w:rPr>
      </w:pPr>
      <w:r>
        <w:rPr>
          <w:rFonts w:ascii="Times New Roman;Times;serif" w:hAnsi="Times New Roman;Times;serif"/>
          <w:color w:val="000000"/>
          <w:sz w:val="20"/>
        </w:rPr>
        <w:t>[  ] in lawful money of the United States; or</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2160" w:right="0" w:hanging="0"/>
        <w:jc w:val="both"/>
        <w:rPr>
          <w:rFonts w:ascii="Times New Roman;Times;serif" w:hAnsi="Times New Roman;Times;serif"/>
          <w:color w:val="000000"/>
          <w:sz w:val="20"/>
        </w:rPr>
      </w:pPr>
      <w:r>
        <w:rPr>
          <w:rFonts w:ascii="Times New Roman;Times;serif" w:hAnsi="Times New Roman;Times;serif"/>
          <w:color w:val="000000"/>
          <w:sz w:val="20"/>
        </w:rPr>
        <w:t>[  ] if permitted the cancellation of such number of Warrant Shares as is necessary, in accordance with the formula set forth in subsection 2(c), to exercise this Warrant with respect to the maximum number of Warrant Shares purchasable pursuant to the cashless exercise procedure set forth in subsection 2(c).</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1440"/>
        <w:jc w:val="both"/>
        <w:rPr>
          <w:rFonts w:ascii="Times New Roman;Times;serif" w:hAnsi="Times New Roman;Times;serif"/>
          <w:color w:val="000000"/>
          <w:sz w:val="20"/>
        </w:rPr>
      </w:pPr>
      <w:r>
        <w:rPr>
          <w:rFonts w:ascii="Times New Roman;Times;serif" w:hAnsi="Times New Roman;Times;serif"/>
          <w:color w:val="000000"/>
          <w:sz w:val="20"/>
        </w:rPr>
        <w:t>(3)          Please issue said Warrant Shares in the name of the undersigned or in such other name as is specified below:</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2160"/>
        <w:jc w:val="both"/>
        <w:rPr>
          <w:rFonts w:ascii="Times New Roman;Times;serif" w:hAnsi="Times New Roman;Times;serif"/>
          <w:color w:val="000000"/>
          <w:sz w:val="20"/>
        </w:rPr>
      </w:pPr>
      <w:r>
        <w:rPr>
          <w:rFonts w:ascii="Times New Roman;Times;serif" w:hAnsi="Times New Roman;Times;serif"/>
          <w:color w:val="000000"/>
          <w:sz w:val="20"/>
        </w:rPr>
        <w:t>_______________________________</w:t>
      </w:r>
    </w:p>
    <w:p>
      <w:pPr>
        <w:pStyle w:val="TextBody"/>
        <w:bidi w:val="0"/>
        <w:spacing w:lineRule="auto" w:line="300" w:before="0" w:after="0"/>
        <w:jc w:val="left"/>
        <w:rPr/>
      </w:pPr>
      <w:r>
        <w:rPr/>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The Warrant Shares shall be delivered to the following DWAC Account Number:</w:t>
      </w:r>
    </w:p>
    <w:p>
      <w:pPr>
        <w:pStyle w:val="TextBody"/>
        <w:bidi w:val="0"/>
        <w:spacing w:lineRule="auto" w:line="300" w:before="0" w:after="0"/>
        <w:jc w:val="left"/>
        <w:rPr/>
      </w:pPr>
      <w:r>
        <w:rPr/>
      </w:r>
    </w:p>
    <w:p>
      <w:pPr>
        <w:pStyle w:val="TextBody"/>
        <w:bidi w:val="0"/>
        <w:spacing w:lineRule="auto" w:line="300" w:before="0" w:after="0"/>
        <w:ind w:left="0" w:right="0" w:firstLine="2160"/>
        <w:jc w:val="both"/>
        <w:rPr>
          <w:rFonts w:ascii="Times New Roman;Times;serif" w:hAnsi="Times New Roman;Times;serif"/>
          <w:color w:val="000000"/>
          <w:sz w:val="20"/>
        </w:rPr>
      </w:pPr>
      <w:r>
        <w:rPr>
          <w:rFonts w:ascii="Times New Roman;Times;serif" w:hAnsi="Times New Roman;Times;serif"/>
          <w:color w:val="000000"/>
          <w:sz w:val="20"/>
        </w:rPr>
        <w:t>_______________________________</w:t>
      </w:r>
    </w:p>
    <w:p>
      <w:pPr>
        <w:pStyle w:val="TextBody"/>
        <w:bidi w:val="0"/>
        <w:spacing w:lineRule="auto" w:line="300" w:before="0" w:after="0"/>
        <w:jc w:val="left"/>
        <w:rPr/>
      </w:pPr>
      <w:r>
        <w:rPr/>
      </w:r>
    </w:p>
    <w:p>
      <w:pPr>
        <w:pStyle w:val="TextBody"/>
        <w:bidi w:val="0"/>
        <w:spacing w:lineRule="auto" w:line="300" w:before="0" w:after="0"/>
        <w:ind w:left="0" w:right="0" w:firstLine="2160"/>
        <w:jc w:val="both"/>
        <w:rPr>
          <w:rFonts w:ascii="Times New Roman;Times;serif" w:hAnsi="Times New Roman;Times;serif"/>
          <w:color w:val="000000"/>
          <w:sz w:val="20"/>
        </w:rPr>
      </w:pPr>
      <w:r>
        <w:rPr>
          <w:rFonts w:ascii="Times New Roman;Times;serif" w:hAnsi="Times New Roman;Times;serif"/>
          <w:color w:val="000000"/>
          <w:sz w:val="20"/>
        </w:rPr>
        <w:t>_______________________________</w:t>
      </w:r>
    </w:p>
    <w:p>
      <w:pPr>
        <w:pStyle w:val="TextBody"/>
        <w:bidi w:val="0"/>
        <w:spacing w:lineRule="auto" w:line="300" w:before="0" w:after="0"/>
        <w:jc w:val="left"/>
        <w:rPr/>
      </w:pPr>
      <w:r>
        <w:rPr/>
      </w:r>
    </w:p>
    <w:p>
      <w:pPr>
        <w:pStyle w:val="TextBody"/>
        <w:bidi w:val="0"/>
        <w:spacing w:lineRule="auto" w:line="300" w:before="0" w:after="0"/>
        <w:ind w:left="0" w:right="0" w:firstLine="2160"/>
        <w:jc w:val="both"/>
        <w:rPr>
          <w:rFonts w:ascii="Times New Roman;Times;serif" w:hAnsi="Times New Roman;Times;serif"/>
          <w:color w:val="000000"/>
          <w:sz w:val="20"/>
        </w:rPr>
      </w:pPr>
      <w:r>
        <w:rPr>
          <w:rFonts w:ascii="Times New Roman;Times;serif" w:hAnsi="Times New Roman;Times;serif"/>
          <w:color w:val="000000"/>
          <w:sz w:val="20"/>
        </w:rPr>
        <w:t>_______________________________</w:t>
      </w:r>
    </w:p>
    <w:p>
      <w:pPr>
        <w:pStyle w:val="TextBody"/>
        <w:bidi w:val="0"/>
        <w:spacing w:lineRule="auto" w:line="300" w:before="0" w:after="0"/>
        <w:jc w:val="left"/>
        <w:rPr/>
      </w:pPr>
      <w:r>
        <w:rPr/>
      </w:r>
    </w:p>
    <w:p>
      <w:pPr>
        <w:pStyle w:val="TextBody"/>
        <w:bidi w:val="0"/>
        <w:spacing w:lineRule="auto" w:line="300" w:before="0" w:after="0"/>
        <w:ind w:left="0" w:right="0" w:firstLine="1440"/>
        <w:jc w:val="both"/>
        <w:rPr>
          <w:rFonts w:ascii="Times New Roman;Times;serif" w:hAnsi="Times New Roman;Times;serif"/>
          <w:color w:val="000000"/>
          <w:sz w:val="20"/>
        </w:rPr>
      </w:pPr>
      <w:r>
        <w:rPr>
          <w:rFonts w:ascii="Times New Roman;Times;serif" w:hAnsi="Times New Roman;Times;serif"/>
          <w:color w:val="000000"/>
          <w:sz w:val="20"/>
        </w:rPr>
        <w:t>(4)          </w:t>
      </w:r>
      <w:r>
        <w:rPr>
          <w:rFonts w:ascii="Times New Roman;Times;serif" w:hAnsi="Times New Roman;Times;serif"/>
          <w:color w:val="000000"/>
          <w:sz w:val="20"/>
          <w:u w:val="single"/>
        </w:rPr>
        <w:t>Accredited Investor</w:t>
      </w:r>
      <w:r>
        <w:rPr>
          <w:rFonts w:ascii="Times New Roman;Times;serif" w:hAnsi="Times New Roman;Times;serif"/>
          <w:color w:val="000000"/>
          <w:sz w:val="20"/>
        </w:rPr>
        <w:t>.  The undersigned is an “accredited investor” as defined in Regulation D promulgated under the Securities Act of 1933, as amended.</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[SIGNATURE OF HOLDER]</w:t>
      </w:r>
    </w:p>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44" w:name="zf0df67a0346840c89e443b9084580135"/>
      <w:bookmarkStart w:id="45" w:name="zf0df67a0346840c89e443b9084580135"/>
      <w:bookmarkEnd w:id="45"/>
    </w:p>
    <w:tbl>
      <w:tblPr>
        <w:tblW w:w="2525" w:type="dxa"/>
        <w:jc w:val="left"/>
        <w:tblInd w:w="0" w:type="dxa"/>
        <w:tblLayout w:type="fixed"/>
        <w:tblCellMar>
          <w:top w:w="0" w:type="dxa"/>
          <w:left w:w="0" w:type="dxa"/>
          <w:bottom w:w="0" w:type="dxa"/>
          <w:right w:w="0" w:type="dxa"/>
        </w:tblCellMar>
      </w:tblPr>
      <w:tblGrid>
        <w:gridCol w:w="2465"/>
        <w:gridCol w:w="60"/>
      </w:tblGrid>
      <w:tr>
        <w:trPr/>
        <w:tc>
          <w:tcPr>
            <w:tcW w:w="2465" w:type="dxa"/>
            <w:tcBorders/>
            <w:vAlign w:val="center"/>
          </w:tcPr>
          <w:p>
            <w:pPr>
              <w:pStyle w:val="TableContents"/>
              <w:bidi w:val="0"/>
              <w:spacing w:before="0" w:after="283"/>
              <w:jc w:val="left"/>
              <w:rPr/>
            </w:pPr>
            <w:r>
              <w:rPr/>
              <w:t>Name of Investing Entity:</w:t>
            </w:r>
          </w:p>
        </w:tc>
        <w:tc>
          <w:tcPr>
            <w:tcW w:w="60" w:type="dxa"/>
            <w:tcBorders>
              <w:bottom w:val="single" w:sz="2" w:space="0" w:color="000000"/>
            </w:tcBorders>
            <w:tcMar>
              <w:bottom w:w="28" w:type="dxa"/>
            </w:tcMar>
            <w:vAlign w:val="center"/>
          </w:tcPr>
          <w:p>
            <w:pPr>
              <w:pStyle w:val="TableContents"/>
              <w:bidi w:val="0"/>
              <w:spacing w:before="0" w:after="0"/>
              <w:jc w:val="left"/>
              <w:rPr/>
            </w:pPr>
            <w:r>
              <w:rPr/>
              <w:t> </w:t>
            </w:r>
          </w:p>
        </w:tc>
      </w:tr>
    </w:tbl>
    <w:p>
      <w:pPr>
        <w:pStyle w:val="Normal"/>
        <w:bidi w:val="0"/>
        <w:spacing w:before="0" w:after="0"/>
        <w:jc w:val="left"/>
        <w:rPr>
          <w:sz w:val="4"/>
          <w:szCs w:val="4"/>
        </w:rPr>
      </w:pPr>
      <w:r>
        <w:rPr>
          <w:sz w:val="4"/>
          <w:szCs w:val="4"/>
        </w:rPr>
      </w:r>
      <w:bookmarkStart w:id="46" w:name="ff6c72a1542e4394a7a23c5884adfa6e"/>
      <w:bookmarkStart w:id="47" w:name="ff6c72a1542e4394a7a23c5884adfa6e"/>
      <w:bookmarkEnd w:id="47"/>
    </w:p>
    <w:tbl>
      <w:tblPr>
        <w:tblW w:w="4505" w:type="dxa"/>
        <w:jc w:val="left"/>
        <w:tblInd w:w="0" w:type="dxa"/>
        <w:tblLayout w:type="fixed"/>
        <w:tblCellMar>
          <w:top w:w="0" w:type="dxa"/>
          <w:left w:w="0" w:type="dxa"/>
          <w:bottom w:w="0" w:type="dxa"/>
          <w:right w:w="0" w:type="dxa"/>
        </w:tblCellMar>
      </w:tblPr>
      <w:tblGrid>
        <w:gridCol w:w="4445"/>
        <w:gridCol w:w="60"/>
      </w:tblGrid>
      <w:tr>
        <w:trPr/>
        <w:tc>
          <w:tcPr>
            <w:tcW w:w="4445" w:type="dxa"/>
            <w:tcBorders/>
            <w:vAlign w:val="center"/>
          </w:tcPr>
          <w:p>
            <w:pPr>
              <w:pStyle w:val="TableContents"/>
              <w:bidi w:val="0"/>
              <w:spacing w:before="0" w:after="283"/>
              <w:jc w:val="left"/>
              <w:rPr/>
            </w:pPr>
            <w:r>
              <w:rPr>
                <w:rFonts w:ascii="Times New Roman;Times;serif" w:hAnsi="Times New Roman;Times;serif"/>
                <w:i/>
                <w:sz w:val="20"/>
              </w:rPr>
              <w:t>Signature of Authorized Signatory of Investing Entity</w:t>
            </w:r>
            <w:r>
              <w:rPr/>
              <w:t>:</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bl>
    <w:p>
      <w:pPr>
        <w:pStyle w:val="Normal"/>
        <w:bidi w:val="0"/>
        <w:spacing w:before="0" w:after="0"/>
        <w:jc w:val="left"/>
        <w:rPr>
          <w:sz w:val="4"/>
          <w:szCs w:val="4"/>
        </w:rPr>
      </w:pPr>
      <w:r>
        <w:rPr>
          <w:sz w:val="4"/>
          <w:szCs w:val="4"/>
        </w:rPr>
      </w:r>
      <w:bookmarkStart w:id="48" w:name="35e8cb22f11142ed967bb7d1e0b42f2e"/>
      <w:bookmarkStart w:id="49" w:name="35e8cb22f11142ed967bb7d1e0b42f2e"/>
      <w:bookmarkEnd w:id="49"/>
    </w:p>
    <w:tbl>
      <w:tblPr>
        <w:tblW w:w="3065" w:type="dxa"/>
        <w:jc w:val="left"/>
        <w:tblInd w:w="0" w:type="dxa"/>
        <w:tblLayout w:type="fixed"/>
        <w:tblCellMar>
          <w:top w:w="0" w:type="dxa"/>
          <w:left w:w="0" w:type="dxa"/>
          <w:bottom w:w="0" w:type="dxa"/>
          <w:right w:w="0" w:type="dxa"/>
        </w:tblCellMar>
      </w:tblPr>
      <w:tblGrid>
        <w:gridCol w:w="3005"/>
        <w:gridCol w:w="60"/>
      </w:tblGrid>
      <w:tr>
        <w:trPr/>
        <w:tc>
          <w:tcPr>
            <w:tcW w:w="3005" w:type="dxa"/>
            <w:tcBorders/>
            <w:vAlign w:val="center"/>
          </w:tcPr>
          <w:p>
            <w:pPr>
              <w:pStyle w:val="TableContents"/>
              <w:bidi w:val="0"/>
              <w:spacing w:before="0" w:after="283"/>
              <w:jc w:val="left"/>
              <w:rPr/>
            </w:pPr>
            <w:r>
              <w:rPr/>
              <w:t>Name of Authorized Signatory:</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bl>
    <w:p>
      <w:pPr>
        <w:pStyle w:val="Normal"/>
        <w:bidi w:val="0"/>
        <w:spacing w:before="0" w:after="0"/>
        <w:jc w:val="left"/>
        <w:rPr>
          <w:sz w:val="4"/>
          <w:szCs w:val="4"/>
        </w:rPr>
      </w:pPr>
      <w:r>
        <w:rPr>
          <w:sz w:val="4"/>
          <w:szCs w:val="4"/>
        </w:rPr>
      </w:r>
      <w:bookmarkStart w:id="50" w:name="cc92ff7f0b674d09a34ed4c84d400867"/>
      <w:bookmarkStart w:id="51" w:name="cc92ff7f0b674d09a34ed4c84d400867"/>
      <w:bookmarkEnd w:id="51"/>
    </w:p>
    <w:tbl>
      <w:tblPr>
        <w:tblW w:w="2930" w:type="dxa"/>
        <w:jc w:val="left"/>
        <w:tblInd w:w="0" w:type="dxa"/>
        <w:tblLayout w:type="fixed"/>
        <w:tblCellMar>
          <w:top w:w="0" w:type="dxa"/>
          <w:left w:w="0" w:type="dxa"/>
          <w:bottom w:w="0" w:type="dxa"/>
          <w:right w:w="0" w:type="dxa"/>
        </w:tblCellMar>
      </w:tblPr>
      <w:tblGrid>
        <w:gridCol w:w="2870"/>
        <w:gridCol w:w="60"/>
      </w:tblGrid>
      <w:tr>
        <w:trPr/>
        <w:tc>
          <w:tcPr>
            <w:tcW w:w="2870" w:type="dxa"/>
            <w:tcBorders/>
            <w:vAlign w:val="center"/>
          </w:tcPr>
          <w:p>
            <w:pPr>
              <w:pStyle w:val="TableContents"/>
              <w:bidi w:val="0"/>
              <w:spacing w:before="0" w:after="283"/>
              <w:jc w:val="left"/>
              <w:rPr/>
            </w:pPr>
            <w:r>
              <w:rPr/>
              <w:t>Title of Authorized Signatory:</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bl>
    <w:p>
      <w:pPr>
        <w:pStyle w:val="Normal"/>
        <w:bidi w:val="0"/>
        <w:spacing w:before="0" w:after="0"/>
        <w:jc w:val="left"/>
        <w:rPr>
          <w:sz w:val="4"/>
          <w:szCs w:val="4"/>
        </w:rPr>
      </w:pPr>
      <w:r>
        <w:rPr>
          <w:sz w:val="4"/>
          <w:szCs w:val="4"/>
        </w:rPr>
      </w:r>
      <w:bookmarkStart w:id="52" w:name="997d6043dcec4c099a843d8723178674"/>
      <w:bookmarkStart w:id="53" w:name="997d6043dcec4c099a843d8723178674"/>
      <w:bookmarkEnd w:id="53"/>
    </w:p>
    <w:tbl>
      <w:tblPr>
        <w:tblW w:w="590" w:type="dxa"/>
        <w:jc w:val="left"/>
        <w:tblInd w:w="0" w:type="dxa"/>
        <w:tblLayout w:type="fixed"/>
        <w:tblCellMar>
          <w:top w:w="0" w:type="dxa"/>
          <w:left w:w="0" w:type="dxa"/>
          <w:bottom w:w="0" w:type="dxa"/>
          <w:right w:w="0" w:type="dxa"/>
        </w:tblCellMar>
      </w:tblPr>
      <w:tblGrid>
        <w:gridCol w:w="530"/>
        <w:gridCol w:w="60"/>
      </w:tblGrid>
      <w:tr>
        <w:trPr/>
        <w:tc>
          <w:tcPr>
            <w:tcW w:w="530" w:type="dxa"/>
            <w:tcBorders/>
            <w:vAlign w:val="center"/>
          </w:tcPr>
          <w:p>
            <w:pPr>
              <w:pStyle w:val="TableContents"/>
              <w:bidi w:val="0"/>
              <w:spacing w:before="0" w:after="283"/>
              <w:jc w:val="left"/>
              <w:rPr/>
            </w:pPr>
            <w:r>
              <w:rPr/>
              <w:t>Date:</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bl>
    <w:p>
      <w:pPr>
        <w:pStyle w:val="TextBody"/>
        <w:bidi w:val="0"/>
        <w:spacing w:lineRule="auto" w:line="300" w:before="0" w:after="0"/>
        <w:jc w:val="left"/>
        <w:rPr/>
      </w:pPr>
      <w:r>
        <w:rPr/>
      </w:r>
    </w:p>
    <w:p>
      <w:pPr>
        <w:pStyle w:val="HorizontalLine"/>
        <w:pBdr>
          <w:bottom w:val="single" w:sz="12" w:space="0" w:color="808080"/>
        </w:pBdr>
        <w:bidi w:val="0"/>
        <w:spacing w:before="200" w:after="200"/>
        <w:jc w:val="left"/>
        <w:rPr/>
      </w:pPr>
      <w:r>
        <w:rPr/>
      </w:r>
    </w:p>
    <w:p>
      <w:pPr>
        <w:pStyle w:val="TextBody"/>
        <w:bidi w:val="0"/>
        <w:spacing w:lineRule="auto" w:line="300" w:before="0" w:after="0"/>
        <w:jc w:val="right"/>
        <w:rPr>
          <w:rFonts w:ascii="Times New Roman;Times;serif" w:hAnsi="Times New Roman;Times;serif"/>
          <w:b/>
          <w:sz w:val="20"/>
        </w:rPr>
      </w:pPr>
      <w:r>
        <w:rPr>
          <w:rFonts w:ascii="Times New Roman;Times;serif" w:hAnsi="Times New Roman;Times;serif"/>
          <w:b/>
          <w:sz w:val="20"/>
        </w:rPr>
      </w:r>
    </w:p>
    <w:p>
      <w:pPr>
        <w:pStyle w:val="TextBody"/>
        <w:bidi w:val="0"/>
        <w:spacing w:lineRule="auto" w:line="300" w:before="0" w:after="0"/>
        <w:jc w:val="center"/>
        <w:rPr>
          <w:rFonts w:ascii="Times New Roman;Times;serif" w:hAnsi="Times New Roman;Times;serif"/>
          <w:color w:val="000000"/>
          <w:sz w:val="20"/>
        </w:rPr>
      </w:pPr>
      <w:r>
        <w:rPr>
          <w:rFonts w:ascii="Times New Roman;Times;serif" w:hAnsi="Times New Roman;Times;serif"/>
          <w:color w:val="000000"/>
          <w:sz w:val="20"/>
        </w:rPr>
        <w:t>ASSIGNMENT FORM</w:t>
      </w:r>
    </w:p>
    <w:p>
      <w:pPr>
        <w:pStyle w:val="TextBody"/>
        <w:bidi w:val="0"/>
        <w:spacing w:lineRule="auto" w:line="300" w:before="0" w:after="0"/>
        <w:jc w:val="center"/>
        <w:rPr>
          <w:rFonts w:ascii="Times New Roman;Times;serif" w:hAnsi="Times New Roman;Times;serif"/>
          <w:sz w:val="20"/>
        </w:rPr>
      </w:pPr>
      <w:r>
        <w:rPr>
          <w:rFonts w:ascii="Times New Roman;Times;serif" w:hAnsi="Times New Roman;Times;serif"/>
          <w:sz w:val="20"/>
        </w:rPr>
      </w:r>
    </w:p>
    <w:p>
      <w:pPr>
        <w:pStyle w:val="TextBody"/>
        <w:bidi w:val="0"/>
        <w:spacing w:lineRule="auto" w:line="300" w:before="0" w:after="0"/>
        <w:ind w:left="0" w:right="0" w:firstLine="210"/>
        <w:jc w:val="both"/>
        <w:rPr>
          <w:color w:val="000000"/>
        </w:rPr>
      </w:pPr>
      <w:r>
        <w:rPr>
          <w:color w:val="000000"/>
        </w:rPr>
        <w:t> </w:t>
      </w:r>
      <w:r>
        <w:rPr>
          <w:rFonts w:ascii="Times New Roman;Times;serif" w:hAnsi="Times New Roman;Times;serif"/>
          <w:i/>
          <w:color w:val="000000"/>
          <w:sz w:val="20"/>
        </w:rPr>
        <w:t>(To assign the foregoing Warrant, execute this form and supply required information.  Do not use this form to exercise the Warrant to purchase shares.)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210"/>
        <w:jc w:val="both"/>
        <w:rPr>
          <w:rFonts w:ascii="Times New Roman;Times;serif" w:hAnsi="Times New Roman;Times;serif"/>
          <w:color w:val="000000"/>
          <w:sz w:val="20"/>
        </w:rPr>
      </w:pPr>
      <w:r>
        <w:rPr>
          <w:rFonts w:ascii="Times New Roman;Times;serif" w:hAnsi="Times New Roman;Times;serif"/>
          <w:color w:val="000000"/>
          <w:sz w:val="20"/>
        </w:rPr>
        <w:t>FOR VALUE RECEIVED, the foregoing Warrant and all rights evidenced thereby are hereby assigned to</w:t>
      </w:r>
    </w:p>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54" w:name="z6b03822e693b4dc08e78bb3f2d92b6d3"/>
      <w:bookmarkStart w:id="55" w:name="z6b03822e693b4dc08e78bb3f2d92b6d3"/>
      <w:bookmarkEnd w:id="55"/>
    </w:p>
    <w:tbl>
      <w:tblPr>
        <w:tblW w:w="5485" w:type="dxa"/>
        <w:jc w:val="left"/>
        <w:tblInd w:w="0" w:type="dxa"/>
        <w:tblLayout w:type="fixed"/>
        <w:tblCellMar>
          <w:top w:w="0" w:type="dxa"/>
          <w:left w:w="0" w:type="dxa"/>
          <w:bottom w:w="0" w:type="dxa"/>
          <w:right w:w="0" w:type="dxa"/>
        </w:tblCellMar>
      </w:tblPr>
      <w:tblGrid>
        <w:gridCol w:w="4190"/>
        <w:gridCol w:w="1295"/>
      </w:tblGrid>
      <w:tr>
        <w:trPr/>
        <w:tc>
          <w:tcPr>
            <w:tcW w:w="4190"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Name:</w:t>
            </w:r>
          </w:p>
        </w:tc>
        <w:tc>
          <w:tcPr>
            <w:tcW w:w="1295" w:type="dxa"/>
            <w:tcBorders>
              <w:bottom w:val="single" w:sz="2" w:space="0" w:color="000000"/>
            </w:tcBorders>
            <w:tcMar>
              <w:bottom w:w="28" w:type="dxa"/>
            </w:tcMar>
            <w:vAlign w:val="center"/>
          </w:tcPr>
          <w:p>
            <w:pPr>
              <w:pStyle w:val="TableContents"/>
              <w:bidi w:val="0"/>
              <w:spacing w:before="0" w:after="283"/>
              <w:jc w:val="left"/>
              <w:rPr/>
            </w:pPr>
            <w:r>
              <w:rPr/>
            </w:r>
          </w:p>
        </w:tc>
      </w:tr>
      <w:tr>
        <w:trPr/>
        <w:tc>
          <w:tcPr>
            <w:tcW w:w="419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(Please Print)</w:t>
            </w:r>
          </w:p>
        </w:tc>
      </w:tr>
      <w:tr>
        <w:trPr/>
        <w:tc>
          <w:tcPr>
            <w:tcW w:w="419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left"/>
              <w:rPr/>
            </w:pPr>
            <w:r>
              <w:rPr/>
              <w:t> </w:t>
            </w:r>
          </w:p>
        </w:tc>
      </w:tr>
      <w:tr>
        <w:trPr/>
        <w:tc>
          <w:tcPr>
            <w:tcW w:w="4190"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Address:</w:t>
            </w:r>
          </w:p>
        </w:tc>
        <w:tc>
          <w:tcPr>
            <w:tcW w:w="129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419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left"/>
              <w:rPr/>
            </w:pPr>
            <w:r>
              <w:rPr/>
              <w:t>(Please Print)</w:t>
            </w:r>
          </w:p>
        </w:tc>
      </w:tr>
      <w:tr>
        <w:trPr/>
        <w:tc>
          <w:tcPr>
            <w:tcW w:w="419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left"/>
              <w:rPr/>
            </w:pPr>
            <w:r>
              <w:rPr/>
              <w:t> </w:t>
            </w:r>
          </w:p>
        </w:tc>
      </w:tr>
      <w:tr>
        <w:trPr/>
        <w:tc>
          <w:tcPr>
            <w:tcW w:w="4190" w:type="dxa"/>
            <w:tcBorders/>
            <w:vAlign w:val="center"/>
          </w:tcPr>
          <w:p>
            <w:pPr>
              <w:pStyle w:val="TableContents"/>
              <w:bidi w:val="0"/>
              <w:spacing w:before="0" w:after="283"/>
              <w:jc w:val="left"/>
              <w:rPr/>
            </w:pPr>
            <w:r>
              <w:rPr/>
              <w:t>Phone Number:</w:t>
            </w:r>
          </w:p>
        </w:tc>
        <w:tc>
          <w:tcPr>
            <w:tcW w:w="129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419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left"/>
              <w:rPr/>
            </w:pPr>
            <w:r>
              <w:rPr/>
              <w:t> </w:t>
            </w:r>
          </w:p>
        </w:tc>
      </w:tr>
      <w:tr>
        <w:trPr/>
        <w:tc>
          <w:tcPr>
            <w:tcW w:w="4190" w:type="dxa"/>
            <w:tcBorders/>
            <w:vAlign w:val="center"/>
          </w:tcPr>
          <w:p>
            <w:pPr>
              <w:pStyle w:val="TableContents"/>
              <w:bidi w:val="0"/>
              <w:spacing w:before="0" w:after="283"/>
              <w:jc w:val="left"/>
              <w:rPr/>
            </w:pPr>
            <w:r>
              <w:rPr/>
              <w:t>Email Address:</w:t>
            </w:r>
          </w:p>
        </w:tc>
        <w:tc>
          <w:tcPr>
            <w:tcW w:w="129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419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left"/>
              <w:rPr/>
            </w:pPr>
            <w:r>
              <w:rPr/>
              <w:t> </w:t>
            </w:r>
          </w:p>
        </w:tc>
      </w:tr>
      <w:tr>
        <w:trPr/>
        <w:tc>
          <w:tcPr>
            <w:tcW w:w="4190"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Dated: _______________ __, ______</w:t>
            </w:r>
          </w:p>
        </w:tc>
        <w:tc>
          <w:tcPr>
            <w:tcW w:w="1295" w:type="dxa"/>
            <w:tcBorders/>
            <w:vAlign w:val="center"/>
          </w:tcPr>
          <w:p>
            <w:pPr>
              <w:pStyle w:val="TableContents"/>
              <w:bidi w:val="0"/>
              <w:spacing w:before="0" w:after="283"/>
              <w:jc w:val="left"/>
              <w:rPr/>
            </w:pPr>
            <w:r>
              <w:rPr/>
              <w:t> </w:t>
            </w:r>
          </w:p>
        </w:tc>
      </w:tr>
      <w:tr>
        <w:trPr/>
        <w:tc>
          <w:tcPr>
            <w:tcW w:w="419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left"/>
              <w:rPr/>
            </w:pPr>
            <w:r>
              <w:rPr/>
              <w:t> </w:t>
            </w:r>
          </w:p>
        </w:tc>
      </w:tr>
      <w:tr>
        <w:trPr/>
        <w:tc>
          <w:tcPr>
            <w:tcW w:w="4190" w:type="dxa"/>
            <w:tcBorders/>
            <w:vAlign w:val="center"/>
          </w:tcPr>
          <w:p>
            <w:pPr>
              <w:pStyle w:val="TableContents"/>
              <w:bidi w:val="0"/>
              <w:spacing w:lineRule="auto" w:line="300" w:before="0" w:after="0"/>
              <w:jc w:val="both"/>
              <w:rPr/>
            </w:pPr>
            <w:r>
              <w:rPr>
                <w:rFonts w:ascii="Times New Roman;Times;serif" w:hAnsi="Times New Roman;Times;serif"/>
                <w:sz w:val="20"/>
              </w:rPr>
              <w:t>Holder’s Signature:</w:t>
            </w:r>
            <w:r>
              <w:rPr/>
              <w:t> </w:t>
            </w:r>
            <w:r>
              <w:rPr>
                <w:u w:val="single"/>
              </w:rPr>
              <w:t xml:space="preserve">                                          </w:t>
            </w:r>
          </w:p>
        </w:tc>
        <w:tc>
          <w:tcPr>
            <w:tcW w:w="1295" w:type="dxa"/>
            <w:tcBorders/>
            <w:vAlign w:val="center"/>
          </w:tcPr>
          <w:p>
            <w:pPr>
              <w:pStyle w:val="TableContents"/>
              <w:bidi w:val="0"/>
              <w:spacing w:before="0" w:after="283"/>
              <w:jc w:val="left"/>
              <w:rPr/>
            </w:pPr>
            <w:r>
              <w:rPr/>
              <w:t> </w:t>
            </w:r>
          </w:p>
        </w:tc>
      </w:tr>
      <w:tr>
        <w:trPr/>
        <w:tc>
          <w:tcPr>
            <w:tcW w:w="419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left"/>
              <w:rPr/>
            </w:pPr>
            <w:r>
              <w:rPr/>
              <w:t> </w:t>
            </w:r>
          </w:p>
        </w:tc>
      </w:tr>
      <w:tr>
        <w:trPr/>
        <w:tc>
          <w:tcPr>
            <w:tcW w:w="4190" w:type="dxa"/>
            <w:tcBorders/>
            <w:vAlign w:val="center"/>
          </w:tcPr>
          <w:p>
            <w:pPr>
              <w:pStyle w:val="TableContents"/>
              <w:bidi w:val="0"/>
              <w:spacing w:lineRule="auto" w:line="300" w:before="0" w:after="0"/>
              <w:jc w:val="both"/>
              <w:rPr/>
            </w:pPr>
            <w:r>
              <w:rPr>
                <w:rFonts w:ascii="Times New Roman;Times;serif" w:hAnsi="Times New Roman;Times;serif"/>
                <w:sz w:val="20"/>
              </w:rPr>
              <w:t>Holder’s Address:</w:t>
            </w:r>
            <w:r>
              <w:rPr/>
              <w:t> </w:t>
            </w:r>
            <w:r>
              <w:rPr>
                <w:u w:val="single"/>
              </w:rPr>
              <w:t xml:space="preserve">                                            </w:t>
            </w:r>
          </w:p>
        </w:tc>
        <w:tc>
          <w:tcPr>
            <w:tcW w:w="1295" w:type="dxa"/>
            <w:tcBorders/>
            <w:vAlign w:val="center"/>
          </w:tcPr>
          <w:p>
            <w:pPr>
              <w:pStyle w:val="TableContents"/>
              <w:bidi w:val="0"/>
              <w:spacing w:before="0" w:after="283"/>
              <w:jc w:val="left"/>
              <w:rPr/>
            </w:pPr>
            <w:r>
              <w:rPr/>
              <w:t> </w:t>
            </w:r>
          </w:p>
        </w:tc>
      </w:tr>
    </w:tbl>
    <w:p>
      <w:pPr>
        <w:pStyle w:val="TextBody"/>
        <w:bidi w:val="0"/>
        <w:spacing w:lineRule="auto" w:line="300" w:before="0" w:after="0"/>
        <w:jc w:val="left"/>
        <w:rPr/>
      </w:pPr>
      <w:r>
        <w:rPr/>
      </w:r>
    </w:p>
    <w:p>
      <w:pPr>
        <w:pStyle w:val="HorizontalLine"/>
        <w:bidi w:val="0"/>
        <w:jc w:val="left"/>
        <w:rPr/>
      </w:pPr>
      <w:r>
        <w:rPr/>
      </w:r>
    </w:p>
    <w:p>
      <w:pPr>
        <w:pStyle w:val="HorizontalLine"/>
        <w:bidi w:val="0"/>
        <w:jc w:val="left"/>
        <w:rPr/>
      </w:pPr>
      <w:r>
        <w:rPr/>
      </w:r>
      <w:bookmarkStart w:id="56" w:name="exhibit_4-3.htm"/>
      <w:bookmarkStart w:id="57" w:name="ksexhibit_43"/>
      <w:bookmarkStart w:id="58" w:name="exhibit_4-3.htm"/>
      <w:bookmarkStart w:id="59" w:name="ksexhibit_43"/>
      <w:bookmarkEnd w:id="58"/>
      <w:bookmarkEnd w:id="59"/>
      <w:r>
        <w:br w:type="page"/>
      </w:r>
    </w:p>
    <w:p>
      <w:pPr>
        <w:pStyle w:val="TextBody"/>
        <w:bidi w:val="0"/>
        <w:spacing w:before="0" w:after="0"/>
        <w:jc w:val="right"/>
        <w:rPr>
          <w:rFonts w:ascii="Times New Roman;Times;serif" w:hAnsi="Times New Roman;Times;serif"/>
          <w:b/>
          <w:color w:val="000000"/>
          <w:sz w:val="20"/>
          <w:u w:val="single"/>
        </w:rPr>
      </w:pPr>
      <w:r>
        <w:rPr>
          <w:rFonts w:ascii="Times New Roman;Times;serif" w:hAnsi="Times New Roman;Times;serif"/>
          <w:b/>
          <w:color w:val="000000"/>
          <w:sz w:val="20"/>
          <w:u w:val="single"/>
        </w:rPr>
        <w:t>Exhibit 4.3</w:t>
      </w:r>
    </w:p>
    <w:p>
      <w:pPr>
        <w:pStyle w:val="TextBody"/>
        <w:bidi w:val="0"/>
        <w:spacing w:before="0" w:after="0"/>
        <w:jc w:val="left"/>
        <w:rPr/>
      </w:pPr>
      <w:r>
        <w:rPr/>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NEITHER THIS SECURITY NOR THE SECURITIES FOR WHICH THIS SECURITY IS EXERCISABLE HAVE BEEN REGISTERED WITH THE SECURITIES AND EXCHANGE COMMISSION OR THE SECURITIES COMMISSION OF ANY STATE IN RELIANCE UPON AN EXEMPTION FROM REGISTRATION UNDER THE SECURITIES ACT OF 1933, AS AMENDED (THE “SECURITIES ACT”),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  THIS SECURITY AND THE SECURITIES ISSUABLE UPON EXERCISE OF THIS SECURITY MAY BE PLEDGED IN CONNECTION WITH A BONA FIDE MARGIN ACCOUNT OR OTHER LOAN SECURED BY SUCH SECURITIES.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AMENDED AND RESTATED PRE-FUNDED ORDINARY SHARE PURCHASE WARRANT</w:t>
      </w:r>
    </w:p>
    <w:p>
      <w:pPr>
        <w:pStyle w:val="TextBody"/>
        <w:bidi w:val="0"/>
        <w:spacing w:lineRule="auto" w:line="300" w:before="0" w:after="0"/>
        <w:jc w:val="left"/>
        <w:rPr/>
      </w:pPr>
      <w:r>
        <w:rPr/>
      </w:r>
    </w:p>
    <w:p>
      <w:pPr>
        <w:pStyle w:val="TextBody"/>
        <w:bidi w:val="0"/>
        <w:spacing w:lineRule="auto" w:line="300" w:before="0" w:after="0"/>
        <w:jc w:val="center"/>
        <w:rPr>
          <w:color w:val="000000"/>
        </w:rPr>
      </w:pPr>
      <w:r>
        <w:rPr>
          <w:color w:val="000000"/>
        </w:rPr>
        <w:t> </w:t>
      </w:r>
      <w:r>
        <w:rPr>
          <w:rFonts w:ascii="Times New Roman;Times;serif" w:hAnsi="Times New Roman;Times;serif"/>
          <w:b/>
          <w:color w:val="000000"/>
          <w:sz w:val="20"/>
        </w:rPr>
        <w:t>LIFEWARD LTD.</w:t>
      </w:r>
    </w:p>
    <w:p>
      <w:pPr>
        <w:pStyle w:val="TextBody"/>
        <w:bidi w:val="0"/>
        <w:spacing w:lineRule="auto" w:line="300" w:before="0" w:after="0"/>
        <w:jc w:val="left"/>
        <w:rPr>
          <w:color w:val="000000"/>
        </w:rPr>
      </w:pPr>
      <w:r>
        <w:rPr>
          <w:color w:val="000000"/>
        </w:rPr>
        <w:t xml:space="preserve">  </w:t>
      </w:r>
      <w:bookmarkStart w:id="60" w:name="za3e0d147c2c64c0c878c050f43bfe733"/>
      <w:bookmarkEnd w:id="60"/>
    </w:p>
    <w:tbl>
      <w:tblPr>
        <w:tblW w:w="5650" w:type="dxa"/>
        <w:jc w:val="left"/>
        <w:tblInd w:w="0" w:type="dxa"/>
        <w:tblLayout w:type="fixed"/>
        <w:tblCellMar>
          <w:top w:w="0" w:type="dxa"/>
          <w:left w:w="0" w:type="dxa"/>
          <w:bottom w:w="0" w:type="dxa"/>
          <w:right w:w="0" w:type="dxa"/>
        </w:tblCellMar>
      </w:tblPr>
      <w:tblGrid>
        <w:gridCol w:w="2705"/>
        <w:gridCol w:w="2945"/>
      </w:tblGrid>
      <w:tr>
        <w:trPr/>
        <w:tc>
          <w:tcPr>
            <w:tcW w:w="27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Warrant Shares: _____________</w:t>
            </w:r>
          </w:p>
        </w:tc>
        <w:tc>
          <w:tcPr>
            <w:tcW w:w="29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Initial Exercise Date: [__________]</w:t>
            </w:r>
          </w:p>
        </w:tc>
      </w:tr>
    </w:tbl>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THIS AMENDED AND RESTATED PRE-FUNDED ORDINARY SHARE PURCHASE WARRANT (the “</w:t>
      </w:r>
      <w:r>
        <w:rPr>
          <w:rFonts w:ascii="Times New Roman;Times;serif" w:hAnsi="Times New Roman;Times;serif"/>
          <w:color w:val="000000"/>
          <w:sz w:val="20"/>
          <w:u w:val="single"/>
        </w:rPr>
        <w:t>Warrant</w:t>
      </w:r>
      <w:r>
        <w:rPr>
          <w:rFonts w:ascii="Times New Roman;Times;serif" w:hAnsi="Times New Roman;Times;serif"/>
          <w:color w:val="000000"/>
          <w:sz w:val="20"/>
        </w:rPr>
        <w:t>”) certifies that, for value received, [____] or its assigns (the “</w:t>
      </w:r>
      <w:r>
        <w:rPr>
          <w:rFonts w:ascii="Times New Roman;Times;serif" w:hAnsi="Times New Roman;Times;serif"/>
          <w:color w:val="000000"/>
          <w:sz w:val="20"/>
          <w:u w:val="single"/>
        </w:rPr>
        <w:t>Holder</w:t>
      </w:r>
      <w:r>
        <w:rPr>
          <w:rFonts w:ascii="Times New Roman;Times;serif" w:hAnsi="Times New Roman;Times;serif"/>
          <w:color w:val="000000"/>
          <w:sz w:val="20"/>
        </w:rPr>
        <w:t>”) is entitled, upon the terms and subject to the limitations on exercise and the conditions hereinafter set forth, at any time on or after the date set forth above (the “</w:t>
      </w:r>
      <w:r>
        <w:rPr>
          <w:rFonts w:ascii="Times New Roman;Times;serif" w:hAnsi="Times New Roman;Times;serif"/>
          <w:color w:val="000000"/>
          <w:sz w:val="20"/>
          <w:u w:val="single"/>
        </w:rPr>
        <w:t>Initial Exercise Date</w:t>
      </w:r>
      <w:r>
        <w:rPr>
          <w:rFonts w:ascii="Times New Roman;Times;serif" w:hAnsi="Times New Roman;Times;serif"/>
          <w:color w:val="000000"/>
          <w:sz w:val="20"/>
        </w:rPr>
        <w:t>”) until this Warrant is exercised in full (the “</w:t>
      </w:r>
      <w:r>
        <w:rPr>
          <w:rFonts w:ascii="Times New Roman;Times;serif" w:hAnsi="Times New Roman;Times;serif"/>
          <w:color w:val="000000"/>
          <w:sz w:val="20"/>
          <w:u w:val="single"/>
        </w:rPr>
        <w:t>Termination Date</w:t>
      </w:r>
      <w:r>
        <w:rPr>
          <w:rFonts w:ascii="Times New Roman;Times;serif" w:hAnsi="Times New Roman;Times;serif"/>
          <w:color w:val="000000"/>
          <w:sz w:val="20"/>
        </w:rPr>
        <w:t>”) but not thereafter, to subscribe for and purchase from Lifeward Ltd., an Israeli company (the “</w:t>
      </w:r>
      <w:r>
        <w:rPr>
          <w:rFonts w:ascii="Times New Roman;Times;serif" w:hAnsi="Times New Roman;Times;serif"/>
          <w:color w:val="000000"/>
          <w:sz w:val="20"/>
          <w:u w:val="single"/>
        </w:rPr>
        <w:t>Company</w:t>
      </w:r>
      <w:r>
        <w:rPr>
          <w:rFonts w:ascii="Times New Roman;Times;serif" w:hAnsi="Times New Roman;Times;serif"/>
          <w:color w:val="000000"/>
          <w:sz w:val="20"/>
        </w:rPr>
        <w:t>”), up to [____] shares (as subject to adjustment hereunder, the “</w:t>
      </w:r>
      <w:r>
        <w:rPr>
          <w:rFonts w:ascii="Times New Roman;Times;serif" w:hAnsi="Times New Roman;Times;serif"/>
          <w:color w:val="000000"/>
          <w:sz w:val="20"/>
          <w:u w:val="single"/>
        </w:rPr>
        <w:t>Warrant Shares</w:t>
      </w:r>
      <w:r>
        <w:rPr>
          <w:rFonts w:ascii="Times New Roman;Times;serif" w:hAnsi="Times New Roman;Times;serif"/>
          <w:color w:val="000000"/>
          <w:sz w:val="20"/>
        </w:rPr>
        <w:t>”) of the Company’s Ordinary Shares.  The purchase price of one Ordinary Share under this Warrant shall be equal to the Exercise Price, as defined in Section 2(b).</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u w:val="single"/>
        </w:rPr>
        <w:t>Section 1</w:t>
      </w:r>
      <w:r>
        <w:rPr>
          <w:rFonts w:ascii="Times New Roman;Times;serif" w:hAnsi="Times New Roman;Times;serif"/>
          <w:color w:val="000000"/>
          <w:sz w:val="20"/>
        </w:rPr>
        <w:t xml:space="preserve">.        </w:t>
      </w:r>
      <w:r>
        <w:rPr>
          <w:rFonts w:ascii="Times New Roman;Times;serif" w:hAnsi="Times New Roman;Times;serif"/>
          <w:color w:val="000000"/>
          <w:sz w:val="20"/>
          <w:u w:val="single"/>
        </w:rPr>
        <w:t>Definitions</w:t>
      </w:r>
      <w:r>
        <w:rPr>
          <w:rFonts w:ascii="Times New Roman;Times;serif" w:hAnsi="Times New Roman;Times;serif"/>
          <w:color w:val="000000"/>
          <w:sz w:val="20"/>
        </w:rPr>
        <w:t>.  Capitalized terms used and not otherwise defined herein shall have the meanings set forth in that certain Securities Purchase Agreement (the “</w:t>
      </w:r>
      <w:r>
        <w:rPr>
          <w:rFonts w:ascii="Times New Roman;Times;serif" w:hAnsi="Times New Roman;Times;serif"/>
          <w:color w:val="000000"/>
          <w:sz w:val="20"/>
          <w:u w:val="single"/>
        </w:rPr>
        <w:t>Purchase Agreement</w:t>
      </w:r>
      <w:r>
        <w:rPr>
          <w:rFonts w:ascii="Times New Roman;Times;serif" w:hAnsi="Times New Roman;Times;serif"/>
          <w:color w:val="000000"/>
          <w:sz w:val="20"/>
        </w:rPr>
        <w:t>”), dated January 12, 2026, among the Company and the purchasers signatory thereto.</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u w:val="single"/>
        </w:rPr>
        <w:t>Section 2</w:t>
      </w:r>
      <w:r>
        <w:rPr>
          <w:rFonts w:ascii="Times New Roman;Times;serif" w:hAnsi="Times New Roman;Times;serif"/>
          <w:color w:val="000000"/>
          <w:sz w:val="20"/>
        </w:rPr>
        <w:t xml:space="preserve">.            </w:t>
      </w:r>
      <w:r>
        <w:rPr>
          <w:rFonts w:ascii="Times New Roman;Times;serif" w:hAnsi="Times New Roman;Times;serif"/>
          <w:color w:val="000000"/>
          <w:sz w:val="20"/>
          <w:u w:val="single"/>
        </w:rPr>
        <w:t>Exercise</w:t>
      </w:r>
      <w:r>
        <w:rPr>
          <w:rFonts w:ascii="Times New Roman;Times;serif" w:hAnsi="Times New Roman;Times;serif"/>
          <w:color w:val="000000"/>
          <w:sz w:val="20"/>
        </w:rPr>
        <w:t>.</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a)          </w:t>
      </w:r>
      <w:r>
        <w:rPr>
          <w:rFonts w:ascii="Times New Roman;Times;serif" w:hAnsi="Times New Roman;Times;serif"/>
          <w:color w:val="000000"/>
          <w:sz w:val="20"/>
          <w:u w:val="single"/>
        </w:rPr>
        <w:t>Exercise of Warrant</w:t>
      </w:r>
      <w:r>
        <w:rPr>
          <w:rFonts w:ascii="Times New Roman;Times;serif" w:hAnsi="Times New Roman;Times;serif"/>
          <w:color w:val="000000"/>
          <w:sz w:val="20"/>
        </w:rPr>
        <w:t>.  Exercise of the purchase rights represented by this Warrant may be made, in whole or in part, at any time or times on or after the Initial Exercise Date and on or before the Termination Date by delivery to the Company of a duly executed PDF copy submitted by e-mail (or e-mail attachment) of the Notice of Exercise in the form annexed hereto (the “</w:t>
      </w:r>
      <w:r>
        <w:rPr>
          <w:rFonts w:ascii="Times New Roman;Times;serif" w:hAnsi="Times New Roman;Times;serif"/>
          <w:color w:val="000000"/>
          <w:sz w:val="20"/>
          <w:u w:val="single"/>
        </w:rPr>
        <w:t>Notice of Exercise</w:t>
      </w:r>
      <w:r>
        <w:rPr>
          <w:rFonts w:ascii="Times New Roman;Times;serif" w:hAnsi="Times New Roman;Times;serif"/>
          <w:color w:val="000000"/>
          <w:sz w:val="20"/>
        </w:rPr>
        <w:t xml:space="preserve">”).  Within the earlier of (i) one (1) Trading Day and (ii) the number of Trading Days comprising the Standard Settlement Period (as defined in Section 2(d)(i) herein), in each case following the date of exercise as aforesaid, the Holder shall deliver the aggregate Exercise Price for the Warrant Shares specified in the applicable Notice of Exercise by wire transfer or cashier’s check drawn on a United States bank unless the cashless exercise procedure specified in Section 2(c) below is specified in the applicable Notice of Exercise.  No ink-original Notice of Exercise shall be required, nor shall any medallion guarantee (or other type of guarantee or notarization) of any Notice of Exercise be required.  Notwithstanding anything herein to the contrary, the Holder shall not be required to physically surrender this Warrant to the Company until the Holder has purchased all of the Warrant Shares available hereunder and the Warrant has been exercised in full, in which case, the Holder shall surrender this Warrant to the Company for cancellation as soon as reasonably practicable following the date on which the final Notice of Exercise is delivered to the Company.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 the Company shall maintain records showing the number of Warrant Shares purchased and the date of such purchases.  The Company shall deliver any objection to any Notice of Exercise within one (1) Trading Day of receipt of such notice.  </w:t>
      </w:r>
      <w:r>
        <w:rPr>
          <w:rFonts w:ascii="Times New Roman;Times;serif" w:hAnsi="Times New Roman;Times;serif"/>
          <w:b/>
          <w:color w:val="000000"/>
          <w:sz w:val="20"/>
        </w:rPr>
        <w:t>The Holder and any assignee, by acceptance of this Warrant, acknowledge and agree that, by reason of the provisions of this paragraph, following the purchase of a portion of the Warrant Shares hereunder, the number of Warrant Shares available for purchase hereunder at any given time may be less than the amount stated on the face hereof.</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b)          </w:t>
      </w:r>
      <w:r>
        <w:rPr>
          <w:rFonts w:ascii="Times New Roman;Times;serif" w:hAnsi="Times New Roman;Times;serif"/>
          <w:color w:val="000000"/>
          <w:sz w:val="20"/>
          <w:u w:val="single"/>
        </w:rPr>
        <w:t>Exercise Price</w:t>
      </w:r>
      <w:r>
        <w:rPr>
          <w:rFonts w:ascii="Times New Roman;Times;serif" w:hAnsi="Times New Roman;Times;serif"/>
          <w:color w:val="000000"/>
          <w:sz w:val="20"/>
        </w:rPr>
        <w:t>.  The aggregate exercise price of this Warrant, except for a nominal exercise price of $0.0001 per Warrant Share, was pre-funded to the Company on or prior to the Initial Exercise Date and, consequently, no additional consideration (other than the nominal exercise price of $0.0001 per Warrant Share) shall be required to be paid by the Holder to any Person to effect any exercise of this Warrant.  The Holder shall not be entitled to the return or refund of all, or any portion, of such pre-paid aggregate exercise price under any circumstance or for any reason whatsoever, including in the event this Warrant shall not have been exercised prior to the Termination Date. The exercise price per Ordinary Share under this Warrant shall be $0.0001, subject to adjustment hereunder (the “</w:t>
      </w:r>
      <w:r>
        <w:rPr>
          <w:rFonts w:ascii="Times New Roman;Times;serif" w:hAnsi="Times New Roman;Times;serif"/>
          <w:color w:val="000000"/>
          <w:sz w:val="20"/>
          <w:u w:val="single"/>
        </w:rPr>
        <w:t>Exercise Price</w:t>
      </w:r>
      <w:r>
        <w:rPr>
          <w:rFonts w:ascii="Times New Roman;Times;serif" w:hAnsi="Times New Roman;Times;serif"/>
          <w:color w:val="000000"/>
          <w:sz w:val="20"/>
        </w:rPr>
        <w:t>”).</w:t>
      </w:r>
    </w:p>
    <w:p>
      <w:pPr>
        <w:pStyle w:val="TextBody"/>
        <w:bidi w:val="0"/>
        <w:spacing w:lineRule="auto" w:line="300"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lineRule="auto" w:line="300"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c)          </w:t>
      </w:r>
      <w:r>
        <w:rPr>
          <w:rFonts w:ascii="Times New Roman;Times;serif" w:hAnsi="Times New Roman;Times;serif"/>
          <w:color w:val="000000"/>
          <w:sz w:val="20"/>
          <w:u w:val="single"/>
        </w:rPr>
        <w:t>Cashless Exercise</w:t>
      </w:r>
      <w:r>
        <w:rPr>
          <w:rFonts w:ascii="Times New Roman;Times;serif" w:hAnsi="Times New Roman;Times;serif"/>
          <w:color w:val="000000"/>
          <w:sz w:val="20"/>
        </w:rPr>
        <w:t>.  If at the time of exercise hereof there is no effective registration statement registering, or the prospectus contained therein is not available for the resale of the Warrant Shares by the Holder, then this Warrant may also be exercised, in whole or in part, at such time by means of a “cashless exercise” in which the Holder shall be entitled to receive a number of Warrant Shares equal to the quotient obtained by dividing [(A-B) (X)] by (A), where:</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2070" w:right="0" w:hanging="630"/>
        <w:jc w:val="both"/>
        <w:rPr>
          <w:rFonts w:ascii="Times New Roman;Times;serif" w:hAnsi="Times New Roman;Times;serif"/>
          <w:color w:val="000000"/>
          <w:sz w:val="20"/>
        </w:rPr>
      </w:pPr>
      <w:r>
        <w:rPr>
          <w:rFonts w:ascii="Times New Roman;Times;serif" w:hAnsi="Times New Roman;Times;serif"/>
          <w:color w:val="000000"/>
          <w:sz w:val="20"/>
        </w:rPr>
        <w:t>(A) = as applicable: (i) the VWAP on the Trading Day immediately preceding the date of the applicable Notice of Exercise if such Notice of Exercise is (1) both executed and delivered pursuant to Section 2(a) hereof on a day that is not a Trading Day or (2) both executed and delivered pursuant to Section 2(a) hereof on a Trading Day prior to the opening of “regular trading hours” (as defined in Rule 600(b) of Regulation NMS promulgated under the federal securities laws) on such Trading Day, (ii) at the option of the Holder, either (y) the VWAP on the Trading Day immediately preceding the date of the applicable Notice of Exercise or (z) the Bid Price of the Ordinary Shares on the principal Trading Market as reported by Bloomberg L.P. (“</w:t>
      </w:r>
      <w:r>
        <w:rPr>
          <w:rFonts w:ascii="Times New Roman;Times;serif" w:hAnsi="Times New Roman;Times;serif"/>
          <w:color w:val="000000"/>
          <w:sz w:val="20"/>
          <w:u w:val="single"/>
        </w:rPr>
        <w:t>Bloomberg</w:t>
      </w:r>
      <w:r>
        <w:rPr>
          <w:rFonts w:ascii="Times New Roman;Times;serif" w:hAnsi="Times New Roman;Times;serif"/>
          <w:color w:val="000000"/>
          <w:sz w:val="20"/>
        </w:rPr>
        <w:t>”) as of the time of the Holder’s execution of the applicable Notice of Exercise if such Notice of Exercise is executed during “regular trading hours” on a Trading Day and is delivered within two (2) hours thereafter (including until two (2) hours after the close of “regular trading hours” on a Trading Day) pursuant to Section 2(a) hereof or (iii) the VWAP on the date of the applicable Notice of Exercise if the date of such Notice of Exercise is a Trading Day and such Notice of Exercise is both executed and delivered pursuant to Section 2(a) hereof after the close of “regular trading hours” on such Trading Day;</w:t>
      </w:r>
    </w:p>
    <w:p>
      <w:pPr>
        <w:pStyle w:val="TextBody"/>
        <w:bidi w:val="0"/>
        <w:spacing w:lineRule="auto" w:line="300" w:before="0" w:after="0"/>
        <w:ind w:left="2070" w:right="0" w:hanging="630"/>
        <w:jc w:val="both"/>
        <w:rPr>
          <w:rFonts w:ascii="Times New Roman;Times;serif" w:hAnsi="Times New Roman;Times;serif"/>
          <w:sz w:val="20"/>
        </w:rPr>
      </w:pPr>
      <w:r>
        <w:rPr>
          <w:rFonts w:ascii="Times New Roman;Times;serif" w:hAnsi="Times New Roman;Times;serif"/>
          <w:sz w:val="20"/>
        </w:rPr>
      </w:r>
    </w:p>
    <w:p>
      <w:pPr>
        <w:pStyle w:val="TextBody"/>
        <w:bidi w:val="0"/>
        <w:spacing w:lineRule="auto" w:line="300" w:before="0" w:after="0"/>
        <w:ind w:left="2160" w:right="0" w:hanging="720"/>
        <w:jc w:val="both"/>
        <w:rPr>
          <w:rFonts w:ascii="Times New Roman;Times;serif" w:hAnsi="Times New Roman;Times;serif"/>
          <w:color w:val="000000"/>
          <w:sz w:val="20"/>
        </w:rPr>
      </w:pPr>
      <w:r>
        <w:rPr>
          <w:rFonts w:ascii="Times New Roman;Times;serif" w:hAnsi="Times New Roman;Times;serif"/>
          <w:color w:val="000000"/>
          <w:sz w:val="20"/>
        </w:rPr>
        <w:t>(B) = the Exercise Price of this Warrant, as adjusted hereunder; and</w:t>
      </w:r>
    </w:p>
    <w:p>
      <w:pPr>
        <w:pStyle w:val="TextBody"/>
        <w:bidi w:val="0"/>
        <w:spacing w:lineRule="auto" w:line="300" w:before="0" w:after="0"/>
        <w:jc w:val="left"/>
        <w:rPr/>
      </w:pPr>
      <w:r>
        <w:rPr/>
      </w:r>
    </w:p>
    <w:p>
      <w:pPr>
        <w:pStyle w:val="TextBody"/>
        <w:bidi w:val="0"/>
        <w:spacing w:lineRule="auto" w:line="300" w:before="0" w:after="0"/>
        <w:ind w:left="2070" w:right="0" w:hanging="630"/>
        <w:jc w:val="both"/>
        <w:rPr>
          <w:rFonts w:ascii="Times New Roman;Times;serif" w:hAnsi="Times New Roman;Times;serif"/>
          <w:color w:val="000000"/>
          <w:sz w:val="20"/>
        </w:rPr>
      </w:pPr>
      <w:r>
        <w:rPr>
          <w:rFonts w:ascii="Times New Roman;Times;serif" w:hAnsi="Times New Roman;Times;serif"/>
          <w:color w:val="000000"/>
          <w:sz w:val="20"/>
        </w:rPr>
        <w:t>(X) = the number of Warrant Shares that would be issuable upon exercise of this Warrant in accordance with the terms of this Warrant if such exercise were by means of a cash exercise rather than a cashless exercise.</w:t>
      </w:r>
    </w:p>
    <w:p>
      <w:pPr>
        <w:pStyle w:val="TextBody"/>
        <w:bidi w:val="0"/>
        <w:spacing w:lineRule="auto" w:line="300" w:before="0" w:after="0"/>
        <w:jc w:val="left"/>
        <w:rPr/>
      </w:pPr>
      <w:r>
        <w:rPr/>
      </w:r>
    </w:p>
    <w:p>
      <w:pPr>
        <w:pStyle w:val="TextBody"/>
        <w:bidi w:val="0"/>
        <w:spacing w:lineRule="auto" w:line="300" w:before="0" w:after="0"/>
        <w:ind w:left="720" w:right="0" w:firstLine="720"/>
        <w:jc w:val="both"/>
        <w:rPr>
          <w:color w:val="000000"/>
        </w:rPr>
      </w:pPr>
      <w:r>
        <w:rPr>
          <w:color w:val="000000"/>
        </w:rPr>
        <w:t>“</w:t>
      </w:r>
      <w:r>
        <w:rPr>
          <w:rFonts w:ascii="Times New Roman;Times;serif" w:hAnsi="Times New Roman;Times;serif"/>
          <w:color w:val="000000"/>
          <w:sz w:val="20"/>
          <w:u w:val="single"/>
        </w:rPr>
        <w:t>Bid Price</w:t>
      </w:r>
      <w:r>
        <w:rPr>
          <w:rFonts w:ascii="Times New Roman;Times;serif" w:hAnsi="Times New Roman;Times;serif"/>
          <w:color w:val="000000"/>
          <w:sz w:val="20"/>
        </w:rPr>
        <w:t>” means, for any date, the price determined by the first of the following clauses that applies: (a) if the Ordinary Shares are then listed or quoted on a Trading Market, the bid price of the Ordinary Shares for the time in question (or the nearest preceding date) on the Trading Market on which the Ordinary Shares are then listed or quoted as reported by Bloomberg (based on a Trading Day from 9:30 a.m. (New York City time) to 4:02 p.m. (New York City time)), (b)  if OTCQB Venture Market (“</w:t>
      </w:r>
      <w:r>
        <w:rPr>
          <w:rFonts w:ascii="Times New Roman;Times;serif" w:hAnsi="Times New Roman;Times;serif"/>
          <w:color w:val="000000"/>
          <w:sz w:val="20"/>
          <w:u w:val="single"/>
        </w:rPr>
        <w:t>OTCQB</w:t>
      </w:r>
      <w:r>
        <w:rPr>
          <w:rFonts w:ascii="Times New Roman;Times;serif" w:hAnsi="Times New Roman;Times;serif"/>
          <w:color w:val="000000"/>
          <w:sz w:val="20"/>
        </w:rPr>
        <w:t>”) or the OTCQX Best Market (“</w:t>
      </w:r>
      <w:r>
        <w:rPr>
          <w:rFonts w:ascii="Times New Roman;Times;serif" w:hAnsi="Times New Roman;Times;serif"/>
          <w:color w:val="000000"/>
          <w:sz w:val="20"/>
          <w:u w:val="single"/>
        </w:rPr>
        <w:t>OTCQX</w:t>
      </w:r>
      <w:r>
        <w:rPr>
          <w:rFonts w:ascii="Times New Roman;Times;serif" w:hAnsi="Times New Roman;Times;serif"/>
          <w:color w:val="000000"/>
          <w:sz w:val="20"/>
        </w:rPr>
        <w:t>”) is not a Trading Market, the volume weighted average price of the Ordinary Shares for such date (or the nearest preceding date) on OTCQB or OTCQX as applicable, (c) if the Ordinary Shares are not then listed or quoted for trading on OTCQB or OTCQX and if prices for the Ordinary Shares are then reported on the Pink Open Market (“</w:t>
      </w:r>
      <w:r>
        <w:rPr>
          <w:rFonts w:ascii="Times New Roman;Times;serif" w:hAnsi="Times New Roman;Times;serif"/>
          <w:color w:val="000000"/>
          <w:sz w:val="20"/>
          <w:u w:val="single"/>
        </w:rPr>
        <w:t>Pink Market</w:t>
      </w:r>
      <w:r>
        <w:rPr>
          <w:rFonts w:ascii="Times New Roman;Times;serif" w:hAnsi="Times New Roman;Times;serif"/>
          <w:color w:val="000000"/>
          <w:sz w:val="20"/>
        </w:rPr>
        <w:t>”) operated by the OTC Markets, Inc. (or a similar organization or agency succeeding to its functions of reporting prices), the most recent bid price per Ordinary Share so reported, or (d) in all other cases, the fair market value of an Ordinary Share as determined by an independent appraiser selected in good faith by the Holders of a majority in interest of the Securities then outstanding and reasonably acceptable to the Company, the fees and expenses of which shall be paid by the Company.</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color w:val="000000"/>
        </w:rPr>
      </w:pPr>
      <w:r>
        <w:rPr>
          <w:color w:val="000000"/>
        </w:rPr>
        <w:t>“</w:t>
      </w:r>
      <w:r>
        <w:rPr>
          <w:rFonts w:ascii="Times New Roman;Times;serif" w:hAnsi="Times New Roman;Times;serif"/>
          <w:color w:val="000000"/>
          <w:sz w:val="20"/>
          <w:u w:val="single"/>
        </w:rPr>
        <w:t>VWAP</w:t>
      </w:r>
      <w:r>
        <w:rPr>
          <w:rFonts w:ascii="Times New Roman;Times;serif" w:hAnsi="Times New Roman;Times;serif"/>
          <w:color w:val="000000"/>
          <w:sz w:val="20"/>
        </w:rPr>
        <w:t>” means, for any date, the price determined by the first of the following clauses that applies: (a) if the Ordinary Shares are then listed or quoted on a Trading Market, the daily volume weighted average price of the Ordinary Shares for such date (or the nearest preceding date) on the Trading Market on which the Ordinary Shares are then listed or quoted as reported by Bloomberg (based on a Trading Day from 9:30 a.m. (New York City time) to 4:02 p.m. (New York City time)), (b)  if OTCQB or OTCQX is not a Trading Market, the volume weighted average price of the Ordinary Shares for such date (or the nearest preceding date) on OTCQB or OTCQX as applicable, (c) if the Ordinary Shares are not then listed or quoted for trading on OTCQB or OTCQX and if prices for the Ordinary Shares are then reported on the Pink Market operated by the OTC Markets, Inc. (or a similar organization or agency succeeding to its functions of reporting prices), the most recent bid price per Ordinary Share so reported, or (d) in all other cases, the fair market value of an Ordinary Share as determined by an independent appraiser selected in good faith by the Holders of a majority in interest of the Securities then outstanding and reasonably acceptable to the Company, the fees and expenses of which shall be paid by the Company.</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w:t>
      </w:r>
    </w:p>
    <w:p>
      <w:pPr>
        <w:pStyle w:val="HorizontalLine"/>
        <w:pBdr>
          <w:bottom w:val="single" w:sz="12" w:space="0" w:color="808080"/>
        </w:pBdr>
        <w:bidi w:val="0"/>
        <w:spacing w:before="200" w:after="200"/>
        <w:jc w:val="left"/>
        <w:rPr/>
      </w:pPr>
      <w:r>
        <w:rPr/>
      </w:r>
    </w:p>
    <w:p>
      <w:pPr>
        <w:pStyle w:val="TextBody"/>
        <w:bidi w:val="0"/>
        <w:spacing w:lineRule="auto" w:line="300"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If Warrant Shares are issued in such a cashless exercise, the parties acknowledge and agree that in accordance with Section 3(a)(9) of the Securities Act, the holding period of the Warrant Shares being issued may be tacked on to the holding period of this Warrant.  The Company agrees not to take any position contrary to this Section 2(c).</w:t>
      </w:r>
    </w:p>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61" w:name="z436fd61bdd0f42a786c7a8992178edba"/>
      <w:bookmarkStart w:id="62" w:name="z436fd61bdd0f42a786c7a8992178edba"/>
      <w:bookmarkEnd w:id="62"/>
    </w:p>
    <w:tbl>
      <w:tblPr>
        <w:tblW w:w="2133" w:type="dxa"/>
        <w:jc w:val="left"/>
        <w:tblInd w:w="0" w:type="dxa"/>
        <w:tblLayout w:type="fixed"/>
        <w:tblCellMar>
          <w:top w:w="0" w:type="dxa"/>
          <w:left w:w="0" w:type="dxa"/>
          <w:bottom w:w="0" w:type="dxa"/>
          <w:right w:w="0" w:type="dxa"/>
        </w:tblCellMar>
      </w:tblPr>
      <w:tblGrid>
        <w:gridCol w:w="38"/>
        <w:gridCol w:w="185"/>
        <w:gridCol w:w="1910"/>
      </w:tblGrid>
      <w:tr>
        <w:trPr/>
        <w:tc>
          <w:tcPr>
            <w:tcW w:w="38" w:type="dxa"/>
            <w:tcBorders/>
            <w:vAlign w:val="center"/>
          </w:tcPr>
          <w:p>
            <w:pPr>
              <w:pStyle w:val="TableContents"/>
              <w:bidi w:val="0"/>
              <w:spacing w:before="0" w:after="283"/>
              <w:jc w:val="left"/>
              <w:rPr/>
            </w:pPr>
            <w:r>
              <w:rPr/>
            </w:r>
          </w:p>
        </w:tc>
        <w:tc>
          <w:tcPr>
            <w:tcW w:w="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191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u w:val="single"/>
              </w:rPr>
              <w:t>Mechanics of Exercise</w:t>
            </w:r>
            <w:r>
              <w:rPr>
                <w:rFonts w:ascii="Times New Roman;Times;serif" w:hAnsi="Times New Roman;Times;serif"/>
                <w:sz w:val="20"/>
              </w:rPr>
              <w:t>.</w:t>
            </w:r>
          </w:p>
        </w:tc>
      </w:tr>
    </w:tbl>
    <w:p>
      <w:pPr>
        <w:pStyle w:val="TextBody"/>
        <w:bidi w:val="0"/>
        <w:spacing w:lineRule="auto" w:line="300" w:before="0" w:after="0"/>
        <w:jc w:val="left"/>
        <w:rPr>
          <w:color w:val="000000"/>
        </w:rPr>
      </w:pPr>
      <w:r>
        <w:rPr>
          <w:color w:val="000000"/>
        </w:rPr>
        <w:t> </w:t>
      </w:r>
    </w:p>
    <w:p>
      <w:pPr>
        <w:pStyle w:val="TextBody"/>
        <w:bidi w:val="0"/>
        <w:spacing w:lineRule="auto" w:line="240" w:before="0" w:after="0"/>
        <w:ind w:left="2160" w:right="0" w:firstLine="720"/>
        <w:jc w:val="both"/>
        <w:rPr>
          <w:rFonts w:ascii="Times New Roman;Times;serif" w:hAnsi="Times New Roman;Times;serif"/>
          <w:color w:val="000000"/>
          <w:sz w:val="20"/>
        </w:rPr>
      </w:pPr>
      <w:r>
        <w:rPr>
          <w:rFonts w:ascii="Times New Roman;Times;serif" w:hAnsi="Times New Roman;Times;serif"/>
          <w:color w:val="000000"/>
          <w:sz w:val="20"/>
        </w:rPr>
        <w:t>i.          </w:t>
      </w:r>
      <w:r>
        <w:rPr>
          <w:rFonts w:ascii="Times New Roman;Times;serif" w:hAnsi="Times New Roman;Times;serif"/>
          <w:color w:val="000000"/>
          <w:sz w:val="20"/>
          <w:u w:val="single"/>
        </w:rPr>
        <w:t>Delivery of Warrant Shares Upon Exercise</w:t>
      </w:r>
      <w:r>
        <w:rPr>
          <w:rFonts w:ascii="Times New Roman;Times;serif" w:hAnsi="Times New Roman;Times;serif"/>
          <w:color w:val="000000"/>
          <w:sz w:val="20"/>
        </w:rPr>
        <w:t>.  The Company shall cause the Warrant Shares purchased hereunder to be transmitted by the Transfer Agent to the Holder by crediting the account of the Holder’s or its designee’s balance account with The Depository Trust Company through its Deposit or Withdrawal at Custodian system (“</w:t>
      </w:r>
      <w:r>
        <w:rPr>
          <w:rFonts w:ascii="Times New Roman;Times;serif" w:hAnsi="Times New Roman;Times;serif"/>
          <w:color w:val="000000"/>
          <w:sz w:val="20"/>
          <w:u w:val="single"/>
        </w:rPr>
        <w:t>DWAC</w:t>
      </w:r>
      <w:r>
        <w:rPr>
          <w:rFonts w:ascii="Times New Roman;Times;serif" w:hAnsi="Times New Roman;Times;serif"/>
          <w:color w:val="000000"/>
          <w:sz w:val="20"/>
        </w:rPr>
        <w:t>”) if the Company is then a participant in such system and either (A) there is an effective registration statement permitting the issuance of the Warrant Shares to or resale of the Warrant Shares by the Holder or (B) the Warrant Shares are eligible for resale by the Holder without volume or manner-of-sale limitations pursuant to Rule 144 (assuming cashless exercise of the Warrants), and otherwise by physical delivery of a certificate or a book-entry certificate, registered in the Company’s share register in the name of the Holder or its designee, for the number of Warrant Shares to which the Holder is entitled pursuant to such exercise to the address specified by the Holder in the Notice of Exercise by the date that is the earlier of (i) one (1) Trading Day and (ii) the number of Trading Days comprising the Standard Settlement Period, in each case after the delivery to the Company of the Notice of Exercise (such date, the “</w:t>
      </w:r>
      <w:r>
        <w:rPr>
          <w:rFonts w:ascii="Times New Roman;Times;serif" w:hAnsi="Times New Roman;Times;serif"/>
          <w:color w:val="000000"/>
          <w:sz w:val="20"/>
          <w:u w:val="single"/>
        </w:rPr>
        <w:t>Warrant Share Delivery Date</w:t>
      </w:r>
      <w:r>
        <w:rPr>
          <w:rFonts w:ascii="Times New Roman;Times;serif" w:hAnsi="Times New Roman;Times;serif"/>
          <w:color w:val="000000"/>
          <w:sz w:val="20"/>
        </w:rPr>
        <w:t>”).  Upon delivery of the Notice of Exercise, the Holder shall be deemed for all corporate purposes to have become the holder of record of the Warrant Shares with respect to which this Warrant has been exercised, irrespective of the date of delivery of the Warrant Shares, provided that payment of the aggregate Exercise Price (other than in the case of a cashless exercise) is received within the earlier of (i) one (1) Trading Day and (ii) the number of Trading Days comprising the Standard Settlement Period, in each case after the delivery to the Company of the Notice of Exercise.  If the Company fails for any reason to deliver to the Holder the Warrant Shares subject to a Notice of Exercise by the Warrant Share Delivery Date, the Company shall pay to the Holder, in cash, as liquidated damages and not as a penalty, for each $1,000 of Warrant Shares subject to such exercise (based on the VWAP of the Ordinary Shares on the date of the applicable Notice of Exercise), $10 per Trading Day (increasing to $20 per Trading Day on the third (3rd) Trading Day after the Warrant Share Delivery Date) for each Trading Day after such Warrant Share Delivery Date until such Warrant Shares are delivered or Holder rescinds such exercise.  The Company agrees to maintain a transfer agent that is a participant in the FAST program so long as this Warrant remains outstanding and exercisable.  As used herein, “</w:t>
      </w:r>
      <w:r>
        <w:rPr>
          <w:rFonts w:ascii="Times New Roman;Times;serif" w:hAnsi="Times New Roman;Times;serif"/>
          <w:color w:val="000000"/>
          <w:sz w:val="20"/>
          <w:u w:val="single"/>
        </w:rPr>
        <w:t>Standard Settlement Period</w:t>
      </w:r>
      <w:r>
        <w:rPr>
          <w:rFonts w:ascii="Times New Roman;Times;serif" w:hAnsi="Times New Roman;Times;serif"/>
          <w:color w:val="000000"/>
          <w:sz w:val="20"/>
        </w:rPr>
        <w:t>” means the standard settlement period, expressed in a number of Trading Days, on the Company’s primary Trading Market with respect to the Ordinary Shares as in effect on the date of delivery of the Notice of Exercise.</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3</w:t>
      </w:r>
    </w:p>
    <w:p>
      <w:pPr>
        <w:pStyle w:val="HorizontalLine"/>
        <w:pBdr>
          <w:bottom w:val="single" w:sz="12" w:space="0" w:color="808080"/>
        </w:pBdr>
        <w:bidi w:val="0"/>
        <w:spacing w:before="200" w:after="200"/>
        <w:jc w:val="left"/>
        <w:rPr/>
      </w:pPr>
      <w:r>
        <w:rPr/>
      </w:r>
    </w:p>
    <w:p>
      <w:pPr>
        <w:pStyle w:val="TextBody"/>
        <w:bidi w:val="0"/>
        <w:spacing w:lineRule="auto" w:line="300" w:before="0" w:after="0"/>
        <w:ind w:left="2160" w:right="0" w:firstLine="720"/>
        <w:jc w:val="both"/>
        <w:rPr>
          <w:rFonts w:ascii="Times New Roman;Times;serif" w:hAnsi="Times New Roman;Times;serif"/>
          <w:color w:val="000000"/>
          <w:sz w:val="20"/>
        </w:rPr>
      </w:pPr>
      <w:r>
        <w:rPr>
          <w:rFonts w:ascii="Times New Roman;Times;serif" w:hAnsi="Times New Roman;Times;serif"/>
          <w:color w:val="000000"/>
          <w:sz w:val="20"/>
        </w:rPr>
        <w:t>ii.          </w:t>
      </w:r>
      <w:r>
        <w:rPr>
          <w:rFonts w:ascii="Times New Roman;Times;serif" w:hAnsi="Times New Roman;Times;serif"/>
          <w:color w:val="000000"/>
          <w:sz w:val="20"/>
          <w:u w:val="single"/>
        </w:rPr>
        <w:t>Delivery of New Warrants Upon Exercise</w:t>
      </w:r>
      <w:r>
        <w:rPr>
          <w:rFonts w:ascii="Times New Roman;Times;serif" w:hAnsi="Times New Roman;Times;serif"/>
          <w:color w:val="000000"/>
          <w:sz w:val="20"/>
        </w:rPr>
        <w:t>.  If this Warrant shall have been exercised in part, the Company shall, at the request of a Holder and upon surrender of this Warrant certificate, at the time of delivery of the Warrant Shares, deliver to the Holder a new Warrant evidencing the rights of the Holder to purchase the unpurchased Warrant Shares called for by this Warrant, which new Warrant shall in all other respects be identical with this Warrant.</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2160" w:right="0" w:firstLine="720"/>
        <w:jc w:val="both"/>
        <w:rPr>
          <w:rFonts w:ascii="Times New Roman;Times;serif" w:hAnsi="Times New Roman;Times;serif"/>
          <w:color w:val="000000"/>
          <w:sz w:val="20"/>
        </w:rPr>
      </w:pPr>
      <w:r>
        <w:rPr>
          <w:rFonts w:ascii="Times New Roman;Times;serif" w:hAnsi="Times New Roman;Times;serif"/>
          <w:color w:val="000000"/>
          <w:sz w:val="20"/>
        </w:rPr>
        <w:t>iii.          </w:t>
      </w:r>
      <w:r>
        <w:rPr>
          <w:rFonts w:ascii="Times New Roman;Times;serif" w:hAnsi="Times New Roman;Times;serif"/>
          <w:color w:val="000000"/>
          <w:sz w:val="20"/>
          <w:u w:val="single"/>
        </w:rPr>
        <w:t>Rescission Rights</w:t>
      </w:r>
      <w:r>
        <w:rPr>
          <w:rFonts w:ascii="Times New Roman;Times;serif" w:hAnsi="Times New Roman;Times;serif"/>
          <w:color w:val="000000"/>
          <w:sz w:val="20"/>
        </w:rPr>
        <w:t>.  If the Company fails to cause the Transfer Agent to transmit to the Holder the Warrant Shares pursuant to Section 2(d)(i) by the Warrant Share Delivery Date, then the Holder will have the right to rescind such exercise.</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2160" w:right="0" w:firstLine="720"/>
        <w:jc w:val="both"/>
        <w:rPr>
          <w:rFonts w:ascii="Times New Roman;Times;serif" w:hAnsi="Times New Roman;Times;serif"/>
          <w:color w:val="000000"/>
          <w:sz w:val="20"/>
        </w:rPr>
      </w:pPr>
      <w:r>
        <w:rPr>
          <w:rFonts w:ascii="Times New Roman;Times;serif" w:hAnsi="Times New Roman;Times;serif"/>
          <w:color w:val="000000"/>
          <w:sz w:val="20"/>
        </w:rPr>
        <w:t>iv.          </w:t>
      </w:r>
      <w:r>
        <w:rPr>
          <w:rFonts w:ascii="Times New Roman;Times;serif" w:hAnsi="Times New Roman;Times;serif"/>
          <w:color w:val="000000"/>
          <w:sz w:val="20"/>
          <w:u w:val="single"/>
        </w:rPr>
        <w:t>Compensation for Buy-In on Failure to Timely Deliver Warrant Shares Upon Exercise</w:t>
      </w:r>
      <w:r>
        <w:rPr>
          <w:rFonts w:ascii="Times New Roman;Times;serif" w:hAnsi="Times New Roman;Times;serif"/>
          <w:color w:val="000000"/>
          <w:sz w:val="20"/>
        </w:rPr>
        <w:t>.  In addition to any other rights available to the Holder, if the Company fails to cause the Transfer Agent to transmit to the Holder the Warrant Shares in accordance with the provisions of Section 2(d)(i) above pursuant to an exercise on or before the Warrant Share Delivery Date, and if after such date the Holder is required by its broker to purchase (in an open market transaction or otherwise) or the Holder’s brokerage firm otherwise purchases, Ordinary Shares to deliver in satisfaction of a sale by the Holder of the Warrant Shares which the Holder anticipated receiving upon such exercise (a “</w:t>
      </w:r>
      <w:r>
        <w:rPr>
          <w:rFonts w:ascii="Times New Roman;Times;serif" w:hAnsi="Times New Roman;Times;serif"/>
          <w:color w:val="000000"/>
          <w:sz w:val="20"/>
          <w:u w:val="single"/>
        </w:rPr>
        <w:t>Buy-In</w:t>
      </w:r>
      <w:r>
        <w:rPr>
          <w:rFonts w:ascii="Times New Roman;Times;serif" w:hAnsi="Times New Roman;Times;serif"/>
          <w:color w:val="000000"/>
          <w:sz w:val="20"/>
        </w:rPr>
        <w:t>”), then the Company shall (A) pay in cash to the Holder the amount, if any, by which (x) the Holder’s total purchase price (including brokerage commissions, if any) for the Ordinary Shares so purchased exceeds (y) the amount obtained by multiplying (1) the number of Warrant Shares that the Company was required to deliver to the Holder in connection with the exercise at issue times (2) the price at which the sell order giving rise to such purchase obligation was executed, and (B) at the option of the Holder, either reinstate the portion of the Warrant and equivalent number of Warrant Shares for which such exercise was not honored (in which case such exercise shall be deemed rescinded) or deliver to the Holder the number of Ordinary Shares that would have been issued had the Company timely complied with its exercise and delivery obligations hereunder.  For example, if the Holder purchases Ordinary Shares having a total purchase price of $11,000 to cover a Buy-In with respect to an attempted exercise of Ordinary Shares with an aggregate sale price giving rise to such purchase obligation of $10,000, under clause (A) of the immediately preceding sentence the Company shall be required to pay the Holder $1,000. The Holder shall provide the Company written notice indicating the amounts payable to the Holder in respect of the Buy-In and, upon request of the Company, evidence of the amount of such loss.  Nothing herein shall limit a Holder’s right to pursue any other remedies available to it hereunder, at law or in equity including, without limitation, a decree of specific performance and/or injunctive relief with respect to the Company’s failure to timely deliver Ordinary Shares upon exercise of the Warrant as required pursuant to the terms hereof.</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4</w:t>
      </w:r>
    </w:p>
    <w:p>
      <w:pPr>
        <w:pStyle w:val="HorizontalLine"/>
        <w:pBdr>
          <w:bottom w:val="single" w:sz="12" w:space="0" w:color="808080"/>
        </w:pBdr>
        <w:bidi w:val="0"/>
        <w:spacing w:before="200" w:after="200"/>
        <w:jc w:val="left"/>
        <w:rPr/>
      </w:pPr>
      <w:r>
        <w:rPr/>
      </w:r>
    </w:p>
    <w:p>
      <w:pPr>
        <w:pStyle w:val="TextBody"/>
        <w:bidi w:val="0"/>
        <w:spacing w:lineRule="auto" w:line="300" w:before="0" w:after="0"/>
        <w:ind w:left="2160" w:right="0" w:firstLine="720"/>
        <w:jc w:val="both"/>
        <w:rPr>
          <w:rFonts w:ascii="Times New Roman;Times;serif" w:hAnsi="Times New Roman;Times;serif"/>
          <w:color w:val="000000"/>
          <w:sz w:val="20"/>
        </w:rPr>
      </w:pPr>
      <w:r>
        <w:rPr>
          <w:rFonts w:ascii="Times New Roman;Times;serif" w:hAnsi="Times New Roman;Times;serif"/>
          <w:color w:val="000000"/>
          <w:sz w:val="20"/>
        </w:rPr>
        <w:t>v.          </w:t>
      </w:r>
      <w:r>
        <w:rPr>
          <w:rFonts w:ascii="Times New Roman;Times;serif" w:hAnsi="Times New Roman;Times;serif"/>
          <w:color w:val="000000"/>
          <w:sz w:val="20"/>
          <w:u w:val="single"/>
        </w:rPr>
        <w:t>No Fractional Shares or Scrip</w:t>
      </w:r>
      <w:r>
        <w:rPr>
          <w:rFonts w:ascii="Times New Roman;Times;serif" w:hAnsi="Times New Roman;Times;serif"/>
          <w:color w:val="000000"/>
          <w:sz w:val="20"/>
        </w:rPr>
        <w:t>.  No fractional shares or scrip representing fractional shares shall be issued upon the exercise of this Warrant.  As to any fraction of a share which the Holder would otherwise be entitled to purchase upon such exercise, the Company shall, at its election, either pay a cash adjustment in respect of such final fraction in an amount equal to such fraction multiplied by the Exercise Price or round down to the next whole share.</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2160" w:right="0" w:firstLine="720"/>
        <w:jc w:val="both"/>
        <w:rPr>
          <w:rFonts w:ascii="Times New Roman;Times;serif" w:hAnsi="Times New Roman;Times;serif"/>
          <w:color w:val="000000"/>
          <w:sz w:val="20"/>
        </w:rPr>
      </w:pPr>
      <w:r>
        <w:rPr>
          <w:rFonts w:ascii="Times New Roman;Times;serif" w:hAnsi="Times New Roman;Times;serif"/>
          <w:color w:val="000000"/>
          <w:sz w:val="20"/>
        </w:rPr>
        <w:t>vi.          </w:t>
      </w:r>
      <w:r>
        <w:rPr>
          <w:rFonts w:ascii="Times New Roman;Times;serif" w:hAnsi="Times New Roman;Times;serif"/>
          <w:color w:val="000000"/>
          <w:sz w:val="20"/>
          <w:u w:val="single"/>
        </w:rPr>
        <w:t>Charges, Taxes and Expenses</w:t>
      </w:r>
      <w:r>
        <w:rPr>
          <w:rFonts w:ascii="Times New Roman;Times;serif" w:hAnsi="Times New Roman;Times;serif"/>
          <w:color w:val="000000"/>
          <w:sz w:val="20"/>
        </w:rPr>
        <w:t xml:space="preserve">.  Issuance of Warrant Shares shall be made without charge to the Holder for any issue or transfer tax or other incidental expense in respect of the issuance of such Warrant Shares, all of which taxes and expenses shall be paid by the Company, and such Warrant Shares shall be issued in the name of the Holder or in such name or names as may be directed by the Holder;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however</w:t>
      </w:r>
      <w:r>
        <w:rPr>
          <w:rFonts w:ascii="Times New Roman;Times;serif" w:hAnsi="Times New Roman;Times;serif"/>
          <w:color w:val="000000"/>
          <w:sz w:val="20"/>
        </w:rPr>
        <w:t>, that in the event that Warrant Shares are to be issued in a name other than the name of the Holder, this Warrant when surrendered for exercise shall be accompanied by the Assignment Form attached hereto duly executed by the Holder and the Company may require, as a condition thereto, the payment of a sum sufficient to reimburse it for any transfer tax incidental thereto.  The Company shall pay all Transfer Agent fees required for same-day processing of any Notice of Exercise and all fees to the Depository Trust Company (or another established clearing corporation performing similar functions) required for same-day electronic delivery of the Warrant Shares.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2160" w:right="0" w:firstLine="720"/>
        <w:jc w:val="both"/>
        <w:rPr>
          <w:rFonts w:ascii="Times New Roman;Times;serif" w:hAnsi="Times New Roman;Times;serif"/>
          <w:color w:val="000000"/>
          <w:sz w:val="20"/>
        </w:rPr>
      </w:pPr>
      <w:r>
        <w:rPr>
          <w:rFonts w:ascii="Times New Roman;Times;serif" w:hAnsi="Times New Roman;Times;serif"/>
          <w:color w:val="000000"/>
          <w:sz w:val="20"/>
        </w:rPr>
        <w:t>vii.          </w:t>
      </w:r>
      <w:r>
        <w:rPr>
          <w:rFonts w:ascii="Times New Roman;Times;serif" w:hAnsi="Times New Roman;Times;serif"/>
          <w:color w:val="000000"/>
          <w:sz w:val="20"/>
          <w:u w:val="single"/>
        </w:rPr>
        <w:t>Closing of Books</w:t>
      </w:r>
      <w:r>
        <w:rPr>
          <w:rFonts w:ascii="Times New Roman;Times;serif" w:hAnsi="Times New Roman;Times;serif"/>
          <w:color w:val="000000"/>
          <w:sz w:val="20"/>
        </w:rPr>
        <w:t>.  The Company will not close its shareholder books or records in any manner which prevents the timely exercise of this Warrant, pursuant to the terms hereof.</w:t>
      </w:r>
    </w:p>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63" w:name="ze91ca19d028e43d0847cf80ec7e64467"/>
      <w:bookmarkStart w:id="64" w:name="ze91ca19d028e43d0847cf80ec7e64467"/>
      <w:bookmarkEnd w:id="64"/>
    </w:p>
    <w:tbl>
      <w:tblPr>
        <w:tblW w:w="10205" w:type="dxa"/>
        <w:jc w:val="left"/>
        <w:tblInd w:w="0" w:type="dxa"/>
        <w:tblLayout w:type="fixed"/>
        <w:tblCellMar>
          <w:top w:w="0" w:type="dxa"/>
          <w:left w:w="0" w:type="dxa"/>
          <w:bottom w:w="0" w:type="dxa"/>
          <w:right w:w="0" w:type="dxa"/>
        </w:tblCellMar>
      </w:tblPr>
      <w:tblGrid>
        <w:gridCol w:w="38"/>
        <w:gridCol w:w="111"/>
        <w:gridCol w:w="10056"/>
      </w:tblGrid>
      <w:tr>
        <w:trPr/>
        <w:tc>
          <w:tcPr>
            <w:tcW w:w="38" w:type="dxa"/>
            <w:tcBorders/>
            <w:vAlign w:val="center"/>
          </w:tcPr>
          <w:p>
            <w:pPr>
              <w:pStyle w:val="TableContents"/>
              <w:bidi w:val="0"/>
              <w:spacing w:before="0" w:after="283"/>
              <w:jc w:val="left"/>
              <w:rPr/>
            </w:pPr>
            <w:r>
              <w:rPr/>
            </w:r>
          </w:p>
        </w:tc>
        <w:tc>
          <w:tcPr>
            <w:tcW w:w="11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w:t>
            </w:r>
          </w:p>
        </w:tc>
        <w:tc>
          <w:tcPr>
            <w:tcW w:w="10056" w:type="dxa"/>
            <w:tcBorders/>
            <w:vAlign w:val="center"/>
          </w:tcPr>
          <w:p>
            <w:pPr>
              <w:pStyle w:val="TableContents"/>
              <w:bidi w:val="0"/>
              <w:spacing w:lineRule="auto" w:line="240" w:before="0" w:after="0"/>
              <w:jc w:val="both"/>
              <w:rPr>
                <w:rFonts w:ascii="Times New Roman;Times;serif" w:hAnsi="Times New Roman;Times;serif"/>
                <w:sz w:val="20"/>
              </w:rPr>
            </w:pPr>
            <w:r>
              <w:rPr>
                <w:rFonts w:ascii="Times New Roman;Times;serif" w:hAnsi="Times New Roman;Times;serif"/>
                <w:sz w:val="20"/>
                <w:u w:val="single"/>
              </w:rPr>
              <w:t>Holder’s Exercise Limitations</w:t>
            </w:r>
            <w:r>
              <w:rPr>
                <w:rFonts w:ascii="Times New Roman;Times;serif" w:hAnsi="Times New Roman;Times;serif"/>
                <w:sz w:val="20"/>
              </w:rPr>
              <w:t>.   The Company shall not effect any exercise of this Warrant, and a Holder shall not have the right to exercise any portion of this Warrant, pursuant to Section 2 or otherwise, to the extent that after giving effect to such issuance after exercise as set forth on the applicable Notice of Exercise, the Holder (together with the Holder’s Affiliates, and any other Persons acting as a group together with the Holder or any of the Holder’s Affiliates (such Persons, “</w:t>
            </w:r>
            <w:r>
              <w:rPr>
                <w:rFonts w:ascii="Times New Roman;Times;serif" w:hAnsi="Times New Roman;Times;serif"/>
                <w:sz w:val="20"/>
                <w:u w:val="single"/>
              </w:rPr>
              <w:t>Attribution Parties</w:t>
            </w:r>
            <w:r>
              <w:rPr>
                <w:rFonts w:ascii="Times New Roman;Times;serif" w:hAnsi="Times New Roman;Times;serif"/>
                <w:sz w:val="20"/>
              </w:rPr>
              <w:t>”)), would beneficially own in excess of the Beneficial Ownership Limitation (as defined below).  For purposes of the foregoing sentence, the number of Ordinary Shares beneficially owned by the Holder and its Affiliates and Attribution Parties shall include the number of Ordinary Shares issuable upon exercise of this Warrant with respect to which such determination is being made, but shall exclude the number of Ordinary Shares which would be issuable upon (i) exercise of the remaining, nonexercised portion of this Warrant beneficially owned by the Holder or any of its Affiliates or Attribution Parties and (ii) exercise or conversion of the unexercised or nonconverted portion of any other securities of the Company (including, without limitation, any other Ordinary Share Equivalents) subject to a limitation on conversion or exercise analogous to the limitation contained herein beneficially owned by the Holder or any of its Affiliates or Attribution Parties.  Except as set forth in the preceding sentence, for purposes of this Section 2(e), beneficial ownership shall be calculated in accordance with Section 13(d) of the Exchange Act and the rules and regulations promulgated thereunder, it being acknowledged by the Holder that the Company is not representing to the Holder that such calculation is in compliance with Section 13(d) of the Exchange Act and the Holder is solely responsible for any schedules required to be filed in accordance therewith.  To the extent that the limitation contained in this Section 2(e) applies, the determination of whether this Warrant is exercisable (in relation to other securities owned by the Holder together with any Affiliates and Attribution Parties) and of which portion of this Warrant is exercisable shall be in the sole discretion of the Holder, and the submission of a Notice of Exercise shall be deemed to be the Holder’s determination of whether this Warrant is exercisable (in relation to other securities owned by the Holder together with any Affiliates and Attribution Parties) and of which portion of this Warrant is exercisable, in each case subject to the Beneficial Ownership Limitation, and the Company shall have no obligation to verify or confirm the accuracy of such determination.  In addition, a determination as to any group status as contemplated above shall be determined in accordance with Section 13(d) of the Exchange Act and the rules and regulations promulgated thereunder, and the Company shall have no obligation to verify or confirm the accuracy of such determination.  For purposes of this Section 2(e), in determining the number of outstanding Ordinary Shares, a Holder may rely on the number of outstanding Ordinary Shares as reflected in (A) the Company’s most recent periodic or annual report filed with the Commission, as the case may be, (B) a more recent public announcement by the Company or (C) a more recent written notice by the Company or the Transfer Agent setting forth the number of Ordinary Shares outstanding.  Upon the written or oral request of a Holder, the Company shall within one (1) Trading Day confirm orally and in writing to the Holder the number of Ordinary Shares then outstanding.  In any case, the number of outstanding Ordinary Shares shall be determined after giving effect to the conversion or exercise of securities of the Company, including this Warrant, by the Holder or its Affiliates or Attribution Parties since the date as of which such number of outstanding Ordinary Shares was reported.  The “</w:t>
            </w:r>
            <w:r>
              <w:rPr>
                <w:rFonts w:ascii="Times New Roman;Times;serif" w:hAnsi="Times New Roman;Times;serif"/>
                <w:sz w:val="20"/>
                <w:u w:val="single"/>
              </w:rPr>
              <w:t>Beneficial Ownership Limitation</w:t>
            </w:r>
            <w:r>
              <w:rPr>
                <w:rFonts w:ascii="Times New Roman;Times;serif" w:hAnsi="Times New Roman;Times;serif"/>
                <w:sz w:val="20"/>
              </w:rPr>
              <w:t>” shall be 45.0% of the number of Ordinary Shares outstanding immediately after giving effect to the issuance of Ordinary Shares issuable upon exercise of this Warrant.  The Holder, upon notice to the Company, may increase or decrease the Beneficial Ownership Limitation provisions of this Section 2(e), provided that the Beneficial Ownership Limitation in no event exceeds 45.0% of the number of Ordinary Shares outstanding immediately after giving effect to the issuance of Ordinary Shares upon exercise of this Warrant held by the Holder and the provisions of this Section 2(e) shall continue to apply. Any increase in the Beneficial Ownership Limitation will not be effective until the 61st day after such notice is delivered to the Company.  The provisions of this paragraph shall be construed and implemented in a manner otherwise than in strict conformity with the terms of this Section 2(e)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Warrant.</w:t>
            </w:r>
          </w:p>
        </w:tc>
      </w:tr>
    </w:tbl>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5</w:t>
      </w:r>
    </w:p>
    <w:p>
      <w:pPr>
        <w:pStyle w:val="HorizontalLine"/>
        <w:pBdr>
          <w:bottom w:val="single" w:sz="12" w:space="0" w:color="808080"/>
        </w:pBdr>
        <w:bidi w:val="0"/>
        <w:spacing w:before="200" w:after="200"/>
        <w:jc w:val="left"/>
        <w:rPr/>
      </w:pPr>
      <w:r>
        <w:rPr/>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u w:val="single"/>
        </w:rPr>
        <w:t>Section 3</w:t>
      </w:r>
      <w:r>
        <w:rPr>
          <w:rFonts w:ascii="Times New Roman;Times;serif" w:hAnsi="Times New Roman;Times;serif"/>
          <w:color w:val="000000"/>
          <w:sz w:val="20"/>
        </w:rPr>
        <w:t>.          </w:t>
      </w:r>
      <w:r>
        <w:rPr>
          <w:rFonts w:ascii="Times New Roman;Times;serif" w:hAnsi="Times New Roman;Times;serif"/>
          <w:color w:val="000000"/>
          <w:sz w:val="20"/>
          <w:u w:val="single"/>
        </w:rPr>
        <w:t>Certain Adjustments</w:t>
      </w:r>
      <w:r>
        <w:rPr>
          <w:rFonts w:ascii="Times New Roman;Times;serif" w:hAnsi="Times New Roman;Times;serif"/>
          <w:color w:val="000000"/>
          <w:sz w:val="20"/>
        </w:rPr>
        <w:t>.</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a)          </w:t>
      </w:r>
      <w:r>
        <w:rPr>
          <w:rFonts w:ascii="Times New Roman;Times;serif" w:hAnsi="Times New Roman;Times;serif"/>
          <w:color w:val="000000"/>
          <w:sz w:val="20"/>
          <w:u w:val="single"/>
        </w:rPr>
        <w:t>Share Dividends and Splits</w:t>
      </w:r>
      <w:r>
        <w:rPr>
          <w:rFonts w:ascii="Times New Roman;Times;serif" w:hAnsi="Times New Roman;Times;serif"/>
          <w:color w:val="000000"/>
          <w:sz w:val="20"/>
        </w:rPr>
        <w:t>.  If the Company, at any time while this Warrant is outstanding: (i) pays a share dividend or otherwise makes a distribution or distributions on its Ordinary Shares or any other equity or equity equivalent securities payable in Ordinary Shares (which, for avoidance of doubt, shall not include any Ordinary Shares issued by the Company upon exercise of this Warrant), (ii) subdivides outstanding Ordinary Shares into a larger number of shares, (iii) combines (including by way of reverse share split) outstanding Ordinary Shares into a smaller number of shares, or (iv) issues by reclassification of Ordinary Shares any shares of share capital of the Company, then in each case the Exercise Price shall be multiplied by a fraction of which the numerator shall be the number of Ordinary Shares (excluding treasury shares, if any) outstanding immediately before such event and of which the denominator shall be the number of Ordinary Shares outstanding immediately after such event, and the number of shares issuable upon exercise of this Warrant shall be proportionately adjusted such that the aggregate Exercise Price of this Warrant shall remain unchanged.  Any adjustment made pursuant to this Section 3(a) shall become effective immediately after the record date for the determination of shareholders entitled to receive such dividend or distribution and shall become effective immediately after the effective date in the case of a subdivision, combination or re</w:t>
        <w:noBreakHyphen/>
        <w:t>classification.</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b)          </w:t>
      </w:r>
      <w:r>
        <w:rPr>
          <w:rFonts w:ascii="Times New Roman;Times;serif" w:hAnsi="Times New Roman;Times;serif"/>
          <w:color w:val="000000"/>
          <w:sz w:val="20"/>
          <w:u w:val="single"/>
        </w:rPr>
        <w:t>Subsequent Rights Offerings</w:t>
      </w:r>
      <w:r>
        <w:rPr>
          <w:rFonts w:ascii="Times New Roman;Times;serif" w:hAnsi="Times New Roman;Times;serif"/>
          <w:color w:val="000000"/>
          <w:sz w:val="20"/>
        </w:rPr>
        <w:t>.  In addition to any adjustments pursuant to Section 3(a) above, if at any time the Company grants, issues or sells any Ordinary Share Equivalents or rights to purchase shares, warrants, securities or other property pro rata to the record holders of any class of Ordinary Shares (the “</w:t>
      </w:r>
      <w:r>
        <w:rPr>
          <w:rFonts w:ascii="Times New Roman;Times;serif" w:hAnsi="Times New Roman;Times;serif"/>
          <w:color w:val="000000"/>
          <w:sz w:val="20"/>
          <w:u w:val="single"/>
        </w:rPr>
        <w:t>Purchase Rights</w:t>
      </w:r>
      <w:r>
        <w:rPr>
          <w:rFonts w:ascii="Times New Roman;Times;serif" w:hAnsi="Times New Roman;Times;serif"/>
          <w:color w:val="000000"/>
          <w:sz w:val="20"/>
        </w:rPr>
        <w:t>”), then the Holder will be entitled to acquire, upon the terms applicable to such Purchase Rights, the aggregate Purchase Rights which the Holder could have acquired if the Holder had held the number of Ordinary Shares acquirable upon complete exercise of this Warrant (without regard to any limitations on exercise hereof, including without limitation, the Beneficial Ownership Limitation) immediately before the date on which a record is taken for the grant, issuance or sale of such Purchase Rights, or, if no such record is taken, the date as of which the record holders of Ordinary Shares are to be determined for the grant, issue or sale of such Purchase Rights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however</w:t>
      </w:r>
      <w:r>
        <w:rPr>
          <w:rFonts w:ascii="Times New Roman;Times;serif" w:hAnsi="Times New Roman;Times;serif"/>
          <w:color w:val="000000"/>
          <w:sz w:val="20"/>
        </w:rPr>
        <w:t>, that to the extent that the Holder’s right to participate in any such Purchase Right would result in the Holder exceeding the Beneficial Ownership Limitation, then the Holder shall not be entitled to participate in such Purchase Right to such extent (or beneficial ownership of such Ordinary Shares as a result of such Purchase Right to such extent) and such Purchase Right to such extent shall be held in abeyance for the Holder until such time, if ever, as its right thereto would not result in the Holder exceeding the Beneficial Ownership Limitation).</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c)          </w:t>
      </w:r>
      <w:r>
        <w:rPr>
          <w:rFonts w:ascii="Times New Roman;Times;serif" w:hAnsi="Times New Roman;Times;serif"/>
          <w:color w:val="000000"/>
          <w:sz w:val="20"/>
          <w:u w:val="single"/>
        </w:rPr>
        <w:t>Pro Rata Distributions</w:t>
      </w:r>
      <w:r>
        <w:rPr>
          <w:rFonts w:ascii="Times New Roman;Times;serif" w:hAnsi="Times New Roman;Times;serif"/>
          <w:color w:val="000000"/>
          <w:sz w:val="20"/>
        </w:rPr>
        <w:t>.  During such time as this Warrant is outstanding, if the Company shall declare or make any dividend or other distribution of its assets (or rights to acquire its assets) to holders of Ordinary Shares, by way of return of capital or otherwise (including, without limitation, any distribution of cash, shares, or other securities, property or options by way of a dividend, spin off, reclassification, corporate rearrangement, scheme of arrangement or other similar transaction) (a “</w:t>
      </w:r>
      <w:r>
        <w:rPr>
          <w:rFonts w:ascii="Times New Roman;Times;serif" w:hAnsi="Times New Roman;Times;serif"/>
          <w:color w:val="000000"/>
          <w:sz w:val="20"/>
          <w:u w:val="single"/>
        </w:rPr>
        <w:t>Distribution</w:t>
      </w:r>
      <w:r>
        <w:rPr>
          <w:rFonts w:ascii="Times New Roman;Times;serif" w:hAnsi="Times New Roman;Times;serif"/>
          <w:color w:val="000000"/>
          <w:sz w:val="20"/>
        </w:rPr>
        <w:t>”), at any time after the issuance of this Warrant, then, in each such case, the Holder shall be entitled to participate in such Distribution to the same extent that the Holder would have participated therein if the Holder had held the number of Ordinary Shares acquirable upon complete exercise of this Warrant (without regard to any limitations on exercise hereof, including without limitation, the Beneficial Ownership Limitation) immediately before the date of which a record is taken for such Distribution, or, if no such record is taken, the date as of which the record holders of Ordinary Shares are to be determined for the participation in such Distribution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however</w:t>
      </w:r>
      <w:r>
        <w:rPr>
          <w:rFonts w:ascii="Times New Roman;Times;serif" w:hAnsi="Times New Roman;Times;serif"/>
          <w:color w:val="000000"/>
          <w:sz w:val="20"/>
        </w:rPr>
        <w:t>, that to the extent that the Holder’s right to participate in any such Distribution would result in the Holder exceeding the Beneficial Ownership Limitation, then the Holder shall not be entitled to participate in such Distribution to such extent (or in the beneficial ownership of any Ordinary Shares as a result of such Distribution to such extent) and the portion of such Distribution shall be held in abeyance for the benefit of the Holder until such time, if ever, as its right thereto would not result in the Holder exceeding the Beneficial Ownership Limitation).</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6</w:t>
      </w:r>
    </w:p>
    <w:p>
      <w:pPr>
        <w:pStyle w:val="HorizontalLine"/>
        <w:pBdr>
          <w:bottom w:val="single" w:sz="12" w:space="0" w:color="808080"/>
        </w:pBdr>
        <w:bidi w:val="0"/>
        <w:spacing w:before="200" w:after="200"/>
        <w:jc w:val="left"/>
        <w:rPr/>
      </w:pPr>
      <w:r>
        <w:rPr/>
      </w:r>
    </w:p>
    <w:p>
      <w:pPr>
        <w:pStyle w:val="TextBody"/>
        <w:bidi w:val="0"/>
        <w:spacing w:lineRule="auto" w:line="300"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d)          </w:t>
      </w:r>
      <w:r>
        <w:rPr>
          <w:rFonts w:ascii="Times New Roman;Times;serif" w:hAnsi="Times New Roman;Times;serif"/>
          <w:color w:val="000000"/>
          <w:sz w:val="20"/>
          <w:u w:val="single"/>
        </w:rPr>
        <w:t>Fundamental Transaction</w:t>
      </w:r>
      <w:r>
        <w:rPr>
          <w:rFonts w:ascii="Times New Roman;Times;serif" w:hAnsi="Times New Roman;Times;serif"/>
          <w:color w:val="000000"/>
          <w:sz w:val="20"/>
        </w:rPr>
        <w:t>. If, at any time while this Warrant is outstanding, (i) the Company, directly or indirectly, in one or more related transactions effects any merger or consolidation of the Company with or into another Person, (ii) the Company (or any Subsidiary), directly or indirectly, effects any sale, lease, license, assignment, transfer, conveyance or other disposition of all or substantially all of the Company’s assets in one or a series of related transactions, (iii) any, direct or indirect, purchase offer, tender offer or exchange offer (whether by the Company or another Person) is completed pursuant to which holders of Ordinary Shares are permitted to sell, tender or exchange their shares for other securities, cash or property and has been accepted by the holders of more than 50% of the outstanding Ordinary Shares or more than 50% of the voting power of the common equity of the Company, (iv) the Company, directly or indirectly, in one or more related transactions effects any reclassification, reorganization or recapitalization of the Ordinary Shares or any compulsory share exchange pursuant to which the Ordinary Shares are effectively converted into or exchanged for other securities, cash or property, or (v) the Company, directly or indirectly, in one or more related transactions consummates a share purchase agreement or other business combination (including, without limitation, a reorganization, recapitalization, spin-off, merger or scheme of arrangement) with another Person or group of Persons whereby such other Person or group acquires more than 50% of the outstanding Ordinary Shares or more than 50% of the voting power of the common equity of the Company (each a “</w:t>
      </w:r>
      <w:r>
        <w:rPr>
          <w:rFonts w:ascii="Times New Roman;Times;serif" w:hAnsi="Times New Roman;Times;serif"/>
          <w:color w:val="000000"/>
          <w:sz w:val="20"/>
          <w:u w:val="single"/>
        </w:rPr>
        <w:t>Fundamental Transaction</w:t>
      </w:r>
      <w:r>
        <w:rPr>
          <w:rFonts w:ascii="Times New Roman;Times;serif" w:hAnsi="Times New Roman;Times;serif"/>
          <w:color w:val="000000"/>
          <w:sz w:val="20"/>
        </w:rPr>
        <w:t>”), then, upon any subsequent exercise of this Warrant, the Holder shall have the right to receive, for each Warrant Share that would have been issuable upon such exercise immediately prior to the occurrence of such Fundamental Transaction, at the option of the Holder (without regard to any limitation in Section 2(e) on the exercise of this Warrant), the number of Ordinary Shares of the successor or acquiring corporation or of the Company, if it is the surviving corporation, and any additional consideration (the “</w:t>
      </w:r>
      <w:r>
        <w:rPr>
          <w:rFonts w:ascii="Times New Roman;Times;serif" w:hAnsi="Times New Roman;Times;serif"/>
          <w:color w:val="000000"/>
          <w:sz w:val="20"/>
          <w:u w:val="single"/>
        </w:rPr>
        <w:t>Alternate Consideration</w:t>
      </w:r>
      <w:r>
        <w:rPr>
          <w:rFonts w:ascii="Times New Roman;Times;serif" w:hAnsi="Times New Roman;Times;serif"/>
          <w:color w:val="000000"/>
          <w:sz w:val="20"/>
        </w:rPr>
        <w:t xml:space="preserve">”) receivable as a result of such Fundamental Transaction by a holder of the number of Ordinary Shares for which this Warrant is exercisable immediately prior to such Fundamental Transaction (without regard to any limitation in Section 2(e) on the exercise of this Warrant).  For purposes of any such exercise, the determination of the Exercise Price shall be appropriately adjusted to apply to such Alternate Consideration based on the amount of Alternate Consideration issuable in respect of one Ordinary Share in such Fundamental Transaction, and the Company shall apportion the Exercise Price among the Alternate Consideration in a reasonable manner reflecting the relative value of any different components of the Alternate Consideration.  If holders of Ordinary Shares are given any choice as to the securities, cash or property to be received in a Fundamental Transaction, then the Holder shall be given the same choice as to the Alternate Consideration it receives upon any exercise of this Warrant following such Fundamental Transaction.  Notwithstanding anything to the contrary, in the event of a Fundamental Transaction, the Company or any Successor Entity (as defined below) shall, at the Holder’s option, exercisable at any time concurrently with, or within 30 days after, the consummation of the Fundamental Transaction (or, if later, the date of the public announcement of the applicable Fundamental Transaction), purchase this Warrant from the Holder by paying to the Holder an amount equal to the Black Scholes Value (as defined below) of the remaining unexercised portion of this Warrant on the date of the consummation of such Fundamental Transaction payable in either, at the option of the Company, cash, Ordinary Shares or the same type or form of consideration (and in the same proportion) that is being offered and paid to the holders of the Ordinary Shares of the Company in connection with the Fundamental Transaction, whether that consideration be in the form of cash, shares or any combination thereof, or whether the holders of the Ordinary Shares are given the choice to receive from among alternative forms of consideration in connection with the Fundamental Transaction;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further</w:t>
      </w:r>
      <w:r>
        <w:rPr>
          <w:rFonts w:ascii="Times New Roman;Times;serif" w:hAnsi="Times New Roman;Times;serif"/>
          <w:color w:val="000000"/>
          <w:sz w:val="20"/>
        </w:rPr>
        <w:t>, that if holders of Ordinary Shares of the Company are not offered or paid any consideration in such Fundamental Transaction, such holders of Ordinary Shares will be deemed to have received common stock of the Successor Entity (which Entity may be the Company following such Fundamental Transaction) in such Fundamental Transaction.  “</w:t>
      </w:r>
      <w:r>
        <w:rPr>
          <w:rFonts w:ascii="Times New Roman;Times;serif" w:hAnsi="Times New Roman;Times;serif"/>
          <w:color w:val="000000"/>
          <w:sz w:val="20"/>
          <w:u w:val="single"/>
        </w:rPr>
        <w:t>Black Scholes Value</w:t>
      </w:r>
      <w:r>
        <w:rPr>
          <w:rFonts w:ascii="Times New Roman;Times;serif" w:hAnsi="Times New Roman;Times;serif"/>
          <w:color w:val="000000"/>
          <w:sz w:val="20"/>
        </w:rPr>
        <w:t>” means the value of this Warrant based on the Black-Scholes Option Pricing Model obtained from the “OV” function on Bloomberg determined as of the day of consummation of the applicable Fundamental Transaction for pricing purposes and reflecting (A) a risk-free interest rate corresponding to the U.S. Treasury rate for a period equal to the time between the date of the public announcement of the applicable contemplated Fundamental Transaction and the Termination Date, (B) an expected volatility equal to the greater of (1) the 100 day volatility or (2) the volatility of 100%, each of clauses (1)-(2) as obtained from the HVT function on Bloomberg (determined utilizing a 365 day annualization factor) as of the Trading Day immediately following the public announcement of the applicable contemplated Fundamental Transaction, (C) the underlying price per share used in such calculation shall be the highest VWAP during the period beginning on the Trading Day immediately preceding the public announcement of the applicable contemplated Fundamental Transaction (or the consummation of the applicable Fundamental Transaction, if earlier) and ending on the Trading Day of the Holder’s request pursuant to this Section 3(d), (D) a remaining option time equal to the time between the date of the public announcement of the applicable contemplated Fundamental Transaction and the Termination Date and (E) a zero cost of borrow.  The payment of the Black Scholes Value will be made by wire transfer of immediately available funds (or such other consideration) within the later of (i) five Business Days of the Holder’s election and (ii) the date of consummation of the Fundamental Transaction.  The Company shall cause any successor entity in a Fundamental Transaction in which the Company is not the survivor (the “</w:t>
      </w:r>
      <w:r>
        <w:rPr>
          <w:rFonts w:ascii="Times New Roman;Times;serif" w:hAnsi="Times New Roman;Times;serif"/>
          <w:color w:val="000000"/>
          <w:sz w:val="20"/>
          <w:u w:val="single"/>
        </w:rPr>
        <w:t>Successor Entity</w:t>
      </w:r>
      <w:r>
        <w:rPr>
          <w:rFonts w:ascii="Times New Roman;Times;serif" w:hAnsi="Times New Roman;Times;serif"/>
          <w:color w:val="000000"/>
          <w:sz w:val="20"/>
        </w:rPr>
        <w:t>”) to assume in writing all of the obligations of the Company under this Warrant and the other Transaction Documents in accordance with the provisions of this Section 3(d) pursuant to written agreements in form and substance reasonably satisfactory to the Holder and approved by the Holder (without unreasonable delay) prior to such Fundamental Transaction and shall, at the option of the Holder, deliver to the Holder in exchange for this Warrant a security of the Successor Entity evidenced by a written instrument substantially similar in form and substance to this Warrant which is exercisable for a corresponding number of share capital of such Successor Entity (or its parent entity) equivalent to the Ordinary Shares acquirable and receivable upon exercise of this Warrant (without regard to any limitations on the exercise of this Warrant) prior to such Fundamental Transaction, and with an exercise price which applies the exercise price hereunder to such share capital (but taking into account the relative value of the Ordinary Shares pursuant to such Fundamental Transaction and the value of such share capital, such number of share capital and such exercise price being for the purpose of protecting the economic value of this Warrant immediately prior to the consummation of such Fundamental Transaction), and which is reasonably satisfactory in form and substance to the Holder.  Upon the occurrence of any such Fundamental Transaction, the Successor Entity shall be added to the term “Company” under this Warrant (so that from and after the occurrence or consummation of such Fundamental Transaction, each and every provision of this Warrant and the other Transaction Documents referring to the “Company” shall refer instead to each of the Company and the Successor Entity or Successor Entities, jointly and severally), and the Successor Entity or Successor Entities, jointly and severally with the Company, may exercise every right and power of the Company prior thereto and the Successor Entity or Successor Entities shall assume all of the obligations of the Company prior thereto under this Warrant and the other Transaction Documents with the same effect as if the Company and such Successor Entity or Successor Entities, jointly and severally, had been named as the Company herein.  For the avoidance of doubt, the Holder shall be entitled to the benefits of the provisions of this Section 3(d) regardless of (i) whether the Company has sufficient authorized Ordinary Shares for the issuance of Warrant Shares and/or (ii) whether a Fundamental Transaction occurs prior to the Initial Exercise Date. Notwithstanding anything to the contrary herein, the Company and Holder acknowledge and agree that the transactions contemplated by that certain Purchase Agreement, dated as of January 12, 2026, by and among the Company and the purchasers signatory thereto (the “</w:t>
      </w:r>
      <w:r>
        <w:rPr>
          <w:rFonts w:ascii="Times New Roman;Times;serif" w:hAnsi="Times New Roman;Times;serif"/>
          <w:color w:val="000000"/>
          <w:sz w:val="20"/>
          <w:u w:val="single"/>
        </w:rPr>
        <w:t>Other Purchase Agreement”</w:t>
      </w:r>
      <w:r>
        <w:rPr>
          <w:rFonts w:ascii="Times New Roman;Times;serif" w:hAnsi="Times New Roman;Times;serif"/>
          <w:color w:val="000000"/>
          <w:sz w:val="20"/>
        </w:rPr>
        <w:t xml:space="preserve"> and the transaction contemplated thereby, the “</w:t>
      </w:r>
      <w:r>
        <w:rPr>
          <w:rFonts w:ascii="Times New Roman;Times;serif" w:hAnsi="Times New Roman;Times;serif"/>
          <w:color w:val="000000"/>
          <w:sz w:val="20"/>
          <w:u w:val="single"/>
        </w:rPr>
        <w:t>Current Transaction</w:t>
      </w:r>
      <w:r>
        <w:rPr>
          <w:rFonts w:ascii="Times New Roman;Times;serif" w:hAnsi="Times New Roman;Times;serif"/>
          <w:color w:val="000000"/>
          <w:sz w:val="20"/>
        </w:rPr>
        <w:t>”) and related transaction documentation shall not constitute, and shall not be deemed to constitute, a Fundamental Transaction for any purpose under this Warrant, and no rights, remedies, or obligations that would otherwise arise upon the occurrence of a Fundamental Transaction shall be triggered by or in connection with the consummation of the Current Transaction.  Additionally, notwithstanding anything to the contrary herein, no transaction, action, election, or arrangement initiated, proposed, directed, or otherwise caused by, or at the direction of, Oramed Pharmaceuticals, Inc. (“Oramed”) shall constitute, or be deemed to constitute, a Fundamental Transaction, and no Fundamental Transaction shall be deemed to have occurred solely as a result of any voluntary act or omission of Oramed. For the avoidance of doubt, a Fundamental Transaction shall only be deemed to occur upon the consummation of a transaction undertaken by the Company or a third party independent of Oramed, and not as a result of any designation, characterization, or contractual right exercised by Oramed.</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7</w:t>
      </w:r>
    </w:p>
    <w:p>
      <w:pPr>
        <w:pStyle w:val="HorizontalLine"/>
        <w:pBdr>
          <w:bottom w:val="single" w:sz="12" w:space="0" w:color="808080"/>
        </w:pBdr>
        <w:bidi w:val="0"/>
        <w:spacing w:before="200" w:after="200"/>
        <w:jc w:val="left"/>
        <w:rPr/>
      </w:pPr>
      <w:r>
        <w:rPr/>
      </w:r>
    </w:p>
    <w:p>
      <w:pPr>
        <w:pStyle w:val="TextBody"/>
        <w:bidi w:val="0"/>
        <w:spacing w:lineRule="auto" w:line="300"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e)          </w:t>
      </w:r>
      <w:r>
        <w:rPr>
          <w:rFonts w:ascii="Times New Roman;Times;serif" w:hAnsi="Times New Roman;Times;serif"/>
          <w:color w:val="000000"/>
          <w:sz w:val="20"/>
          <w:u w:val="single"/>
        </w:rPr>
        <w:t>Calculations</w:t>
      </w:r>
      <w:r>
        <w:rPr>
          <w:rFonts w:ascii="Times New Roman;Times;serif" w:hAnsi="Times New Roman;Times;serif"/>
          <w:color w:val="000000"/>
          <w:sz w:val="20"/>
        </w:rPr>
        <w:t>.  All calculations under this Section 3 shall be made to the nearest cent or the nearest 1/100th of a share, as the case may be.  For purposes of this Section 3, the number of Ordinary Shares deemed to be issued and outstanding as of a given date shall be the sum of the number of Ordinary Shares (excluding treasury shares, if any) issued and outstanding.</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f)          </w:t>
      </w:r>
      <w:r>
        <w:rPr>
          <w:rFonts w:ascii="Times New Roman;Times;serif" w:hAnsi="Times New Roman;Times;serif"/>
          <w:color w:val="000000"/>
          <w:sz w:val="20"/>
          <w:u w:val="single"/>
        </w:rPr>
        <w:t>Notice to Holder</w:t>
      </w:r>
      <w:r>
        <w:rPr>
          <w:rFonts w:ascii="Times New Roman;Times;serif" w:hAnsi="Times New Roman;Times;serif"/>
          <w:color w:val="000000"/>
          <w:sz w:val="20"/>
        </w:rPr>
        <w:t>.</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2160" w:right="0" w:firstLine="720"/>
        <w:jc w:val="both"/>
        <w:rPr>
          <w:rFonts w:ascii="Times New Roman;Times;serif" w:hAnsi="Times New Roman;Times;serif"/>
          <w:color w:val="000000"/>
          <w:sz w:val="20"/>
        </w:rPr>
      </w:pPr>
      <w:r>
        <w:rPr>
          <w:rFonts w:ascii="Times New Roman;Times;serif" w:hAnsi="Times New Roman;Times;serif"/>
          <w:color w:val="000000"/>
          <w:sz w:val="20"/>
        </w:rPr>
        <w:t>i.          </w:t>
      </w:r>
      <w:r>
        <w:rPr>
          <w:rFonts w:ascii="Times New Roman;Times;serif" w:hAnsi="Times New Roman;Times;serif"/>
          <w:color w:val="000000"/>
          <w:sz w:val="20"/>
          <w:u w:val="single"/>
        </w:rPr>
        <w:t>Adjustment to Exercise Price</w:t>
      </w:r>
      <w:r>
        <w:rPr>
          <w:rFonts w:ascii="Times New Roman;Times;serif" w:hAnsi="Times New Roman;Times;serif"/>
          <w:color w:val="000000"/>
          <w:sz w:val="20"/>
        </w:rPr>
        <w:t>.  Whenever the Exercise Price is adjusted pursuant to any provision of this Section 3, the Company shall promptly deliver to the Holder by email a notice setting forth the Exercise Price after such adjustment and any resulting adjustment to the number of Warrant Shares and setting forth a brief statement of the facts requiring such adjustment.</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2160" w:right="0" w:firstLine="720"/>
        <w:jc w:val="both"/>
        <w:rPr>
          <w:rFonts w:ascii="Times New Roman;Times;serif" w:hAnsi="Times New Roman;Times;serif"/>
          <w:color w:val="000000"/>
          <w:sz w:val="20"/>
        </w:rPr>
      </w:pPr>
      <w:r>
        <w:rPr>
          <w:rFonts w:ascii="Times New Roman;Times;serif" w:hAnsi="Times New Roman;Times;serif"/>
          <w:color w:val="000000"/>
          <w:sz w:val="20"/>
        </w:rPr>
        <w:t>ii.          </w:t>
      </w:r>
      <w:r>
        <w:rPr>
          <w:rFonts w:ascii="Times New Roman;Times;serif" w:hAnsi="Times New Roman;Times;serif"/>
          <w:color w:val="000000"/>
          <w:sz w:val="20"/>
          <w:u w:val="single"/>
        </w:rPr>
        <w:t>Notice to Allow Exercise by Holder</w:t>
      </w:r>
      <w:r>
        <w:rPr>
          <w:rFonts w:ascii="Times New Roman;Times;serif" w:hAnsi="Times New Roman;Times;serif"/>
          <w:color w:val="000000"/>
          <w:sz w:val="20"/>
        </w:rPr>
        <w:t>.  If (A) the Company shall declare a dividend (or any other distribution in whatever form) on the Ordinary Shares, (B) the Company shall declare a special nonrecurring cash dividend on or a redemption of the Ordinary Shares, (C) the Company shall authorize the granting to all holders of the Ordinary Shares rights or warrants to subscribe for or purchase any share capital of any class or of any rights, (D) the approval of any shareholders of the Company shall be required in connection with any reclassification of the Ordinary Shares, any consolidation or merger to which the Company (or any of its Subsidiaries) is a party, any sale or transfer of all or substantially all of its assets, or any compulsory share exchange whereby the Ordinary Shares are converted into other securities, cash or property, or (E) the Company shall authorize the voluntary or involuntary dissolution, liquidation or winding up of the affairs of the Company, then, in each case, the Company shall cause to be delivered by email to the Holder at its last email address as it shall appear upon the Warrant Register of the Company, at least 20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Ordinary Shares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Ordinary Shares of record shall be entitled to exchange their Ordinary Shares for securities, cash or other property deliverable upon such reclassification, consolidation, merger, sale, transfer or share exchange; provided that the failure to deliver such notice or any defect therein or in the delivery thereof shall not affect the validity of the corporate action required to be specified in such notice.  To the extent that any notice provided in this Warrant constitutes, or contains, material, non-public information regarding the Company or any of the Subsidiaries, the Company shall simultaneously file such notice with the Commission pursuant to a Current Report on Form 8-K.  The Holder shall remain entitled to exercise this Warrant during the period commencing on the date of such notice to the effective date of the event triggering such notice except as may otherwise be expressly set forth herein.</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8</w:t>
      </w:r>
    </w:p>
    <w:p>
      <w:pPr>
        <w:pStyle w:val="HorizontalLine"/>
        <w:pBdr>
          <w:bottom w:val="single" w:sz="12" w:space="0" w:color="808080"/>
        </w:pBdr>
        <w:bidi w:val="0"/>
        <w:spacing w:before="200" w:after="200"/>
        <w:jc w:val="left"/>
        <w:rPr/>
      </w:pPr>
      <w:r>
        <w:rPr/>
      </w:r>
    </w:p>
    <w:p>
      <w:pPr>
        <w:pStyle w:val="TextBody"/>
        <w:bidi w:val="0"/>
        <w:spacing w:lineRule="auto" w:line="300"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g)          </w:t>
      </w:r>
      <w:r>
        <w:rPr>
          <w:rFonts w:ascii="Times New Roman;Times;serif" w:hAnsi="Times New Roman;Times;serif"/>
          <w:color w:val="000000"/>
          <w:sz w:val="20"/>
          <w:u w:val="single"/>
        </w:rPr>
        <w:t>Voluntary Adjustment By Company</w:t>
      </w:r>
      <w:r>
        <w:rPr>
          <w:rFonts w:ascii="Times New Roman;Times;serif" w:hAnsi="Times New Roman;Times;serif"/>
          <w:color w:val="000000"/>
          <w:sz w:val="20"/>
        </w:rPr>
        <w:t>.  Subject to the rules and regulations of the Trading Market, the Company may at any time after June 26, 2026 through the term of this Warrant reduce the then current Exercise Price to any amount and for any period of time deemed appropriate by the board of directors of the Company.</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u w:val="single"/>
        </w:rPr>
        <w:t>Section 4</w:t>
      </w:r>
      <w:r>
        <w:rPr>
          <w:rFonts w:ascii="Times New Roman;Times;serif" w:hAnsi="Times New Roman;Times;serif"/>
          <w:color w:val="000000"/>
          <w:sz w:val="20"/>
        </w:rPr>
        <w:t>.          </w:t>
      </w:r>
      <w:r>
        <w:rPr>
          <w:rFonts w:ascii="Times New Roman;Times;serif" w:hAnsi="Times New Roman;Times;serif"/>
          <w:color w:val="000000"/>
          <w:sz w:val="20"/>
          <w:u w:val="single"/>
        </w:rPr>
        <w:t>Transfer of Warrant</w:t>
      </w:r>
      <w:r>
        <w:rPr>
          <w:rFonts w:ascii="Times New Roman;Times;serif" w:hAnsi="Times New Roman;Times;serif"/>
          <w:color w:val="000000"/>
          <w:sz w:val="20"/>
        </w:rPr>
        <w:t>.</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a)          </w:t>
      </w:r>
      <w:r>
        <w:rPr>
          <w:rFonts w:ascii="Times New Roman;Times;serif" w:hAnsi="Times New Roman;Times;serif"/>
          <w:color w:val="000000"/>
          <w:sz w:val="20"/>
          <w:u w:val="single"/>
        </w:rPr>
        <w:t>Transferability</w:t>
      </w:r>
      <w:r>
        <w:rPr>
          <w:rFonts w:ascii="Times New Roman;Times;serif" w:hAnsi="Times New Roman;Times;serif"/>
          <w:color w:val="000000"/>
          <w:sz w:val="20"/>
        </w:rPr>
        <w:t>.  Subject to compliance with any applicable securities laws and the conditions set forth in Section 4(d) hereof and to the provisions of Section 4.1 of the Purchase Agreement, this Warrant and all rights hereunder (including, without limitation, any registration rights) are transferable, in whole or in part, upon surrender of this Warrant at the principal office of the Company or its designated agent, together with a written assignment of this Warrant substantially in the form attached hereto duly executed by the Holder or its agent or attorney and funds sufficient to pay any transfer taxes payable upon the making of such transfer.  Upon such surrender and, if required, such payment, the Company shall execute and deliver a new Warrant or Warrants in the name of the assignee or assignees, as applicable, and in the denomination or denominations specified in such instrument of assignment, and shall issue to the assignor a new Warrant evidencing the portion of this Warrant not so assigned, and this Warrant shall promptly be cancelled.  Notwithstanding anything herein to the contrary, the Holder shall not be required to physically surrender this Warrant to the Company unless the Holder has assigned this Warrant in full, in which case, the Holder shall surrender this Warrant to the Company within three (3) Trading Days of the date on which the Holder delivers an assignment form to the Company assigning this Warrant in full.  The Warrant, if properly assigned in accordance herewith, may be exercised by a new holder for the purchase of Warrant Shares without having a new Warrant issued.</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b)          </w:t>
      </w:r>
      <w:r>
        <w:rPr>
          <w:rFonts w:ascii="Times New Roman;Times;serif" w:hAnsi="Times New Roman;Times;serif"/>
          <w:color w:val="000000"/>
          <w:sz w:val="20"/>
          <w:u w:val="single"/>
        </w:rPr>
        <w:t>New Warrants</w:t>
      </w:r>
      <w:r>
        <w:rPr>
          <w:rFonts w:ascii="Times New Roman;Times;serif" w:hAnsi="Times New Roman;Times;serif"/>
          <w:color w:val="000000"/>
          <w:sz w:val="20"/>
        </w:rPr>
        <w:t>.  This Warrant may be divided or combined with other Warrants upon presentation hereof at the aforesaid office of the Company, together with a written notice specifying the names and denominations in which new Warrants are to be issued, signed by the Holder or its agent or attorney.  Subject to compliance with Section 4(a), as to any transfer which may be involved in such division or combination, the Company shall execute and deliver a new Warrant or Warrants in exchange for the Warrant or Warrants to be divided or combined in accordance with such notice.  All Warrants issued on transfers or exchanges shall be dated the initial issuance date of this Warrant and shall be identical with this Warrant except as to the number of Warrant Shares issuable pursuant thereto.</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9</w:t>
      </w:r>
    </w:p>
    <w:p>
      <w:pPr>
        <w:pStyle w:val="HorizontalLine"/>
        <w:pBdr>
          <w:bottom w:val="single" w:sz="12" w:space="0" w:color="808080"/>
        </w:pBdr>
        <w:bidi w:val="0"/>
        <w:spacing w:before="200" w:after="200"/>
        <w:jc w:val="left"/>
        <w:rPr/>
      </w:pPr>
      <w:r>
        <w:rPr/>
      </w:r>
    </w:p>
    <w:p>
      <w:pPr>
        <w:pStyle w:val="TextBody"/>
        <w:bidi w:val="0"/>
        <w:spacing w:lineRule="auto" w:line="300"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c)          </w:t>
      </w:r>
      <w:r>
        <w:rPr>
          <w:rFonts w:ascii="Times New Roman;Times;serif" w:hAnsi="Times New Roman;Times;serif"/>
          <w:color w:val="000000"/>
          <w:sz w:val="20"/>
          <w:u w:val="single"/>
        </w:rPr>
        <w:t>Warrant Register</w:t>
      </w:r>
      <w:r>
        <w:rPr>
          <w:rFonts w:ascii="Times New Roman;Times;serif" w:hAnsi="Times New Roman;Times;serif"/>
          <w:color w:val="000000"/>
          <w:sz w:val="20"/>
        </w:rPr>
        <w:t>.  The Company shall register this Warrant, upon records to be maintained by the Company for that purpose (the “</w:t>
      </w:r>
      <w:r>
        <w:rPr>
          <w:rFonts w:ascii="Times New Roman;Times;serif" w:hAnsi="Times New Roman;Times;serif"/>
          <w:color w:val="000000"/>
          <w:sz w:val="20"/>
          <w:u w:val="single"/>
        </w:rPr>
        <w:t>Warrant Register</w:t>
      </w:r>
      <w:r>
        <w:rPr>
          <w:rFonts w:ascii="Times New Roman;Times;serif" w:hAnsi="Times New Roman;Times;serif"/>
          <w:color w:val="000000"/>
          <w:sz w:val="20"/>
        </w:rPr>
        <w:t>”), in the name of the record Holder hereof from time to time.  The Company may deem and treat the registered Holder of this Warrant as the absolute owner hereof for the purpose of any exercise hereof or any distribution to the Holder, and for all other purposes, absent actual notice to the contrary.</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d)          </w:t>
      </w:r>
      <w:r>
        <w:rPr>
          <w:rFonts w:ascii="Times New Roman;Times;serif" w:hAnsi="Times New Roman;Times;serif"/>
          <w:color w:val="000000"/>
          <w:sz w:val="20"/>
          <w:u w:val="single"/>
        </w:rPr>
        <w:t>Transfer Restrictions</w:t>
      </w:r>
      <w:r>
        <w:rPr>
          <w:rFonts w:ascii="Times New Roman;Times;serif" w:hAnsi="Times New Roman;Times;serif"/>
          <w:color w:val="000000"/>
          <w:sz w:val="20"/>
        </w:rPr>
        <w:t>.  If, at the time of the surrender of this Warrant in connection with any transfer of this Warrant, the transfer of this Warrant shall not be either (i) registered pursuant to an effective registration statement under the Securities Act and under applicable state securities or blue sky laws or (ii) eligible for resale without volume or manner-of-sale restrictions or current public information requirements pursuant to Rule 144, the Company may require, as a condition of allowing such transfer, that the Holder or transferee of this Warrant, as the case may be, comply with the provisions of Section 5.7 of the Purchase Agreement.</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e)          </w:t>
      </w:r>
      <w:r>
        <w:rPr>
          <w:rFonts w:ascii="Times New Roman;Times;serif" w:hAnsi="Times New Roman;Times;serif"/>
          <w:color w:val="000000"/>
          <w:sz w:val="20"/>
          <w:u w:val="single"/>
        </w:rPr>
        <w:t>Representation by the Holder</w:t>
      </w:r>
      <w:r>
        <w:rPr>
          <w:rFonts w:ascii="Times New Roman;Times;serif" w:hAnsi="Times New Roman;Times;serif"/>
          <w:color w:val="000000"/>
          <w:sz w:val="20"/>
        </w:rPr>
        <w:t>.  The Holder, by the acceptance hereof, represents and warrants that it is acquiring this Warrant and, upon any exercise hereof, will acquire the Warrant Shares issuable upon such exercise, for its own account and not with a view to or for distributing or reselling such Warrant Shares or any part thereof in violation of the Securities Act or any applicable state securities law, except pursuant to sales registered or exempted under the Securities Act.</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u w:val="single"/>
        </w:rPr>
        <w:t>Section 5</w:t>
      </w:r>
      <w:r>
        <w:rPr>
          <w:rFonts w:ascii="Times New Roman;Times;serif" w:hAnsi="Times New Roman;Times;serif"/>
          <w:color w:val="000000"/>
          <w:sz w:val="20"/>
        </w:rPr>
        <w:t>.          </w:t>
      </w:r>
      <w:r>
        <w:rPr>
          <w:rFonts w:ascii="Times New Roman;Times;serif" w:hAnsi="Times New Roman;Times;serif"/>
          <w:color w:val="000000"/>
          <w:sz w:val="20"/>
          <w:u w:val="single"/>
        </w:rPr>
        <w:t>Miscellaneous</w:t>
      </w:r>
      <w:r>
        <w:rPr>
          <w:rFonts w:ascii="Times New Roman;Times;serif" w:hAnsi="Times New Roman;Times;serif"/>
          <w:color w:val="000000"/>
          <w:sz w:val="20"/>
        </w:rPr>
        <w:t>.</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a)          </w:t>
      </w:r>
      <w:r>
        <w:rPr>
          <w:rFonts w:ascii="Times New Roman;Times;serif" w:hAnsi="Times New Roman;Times;serif"/>
          <w:color w:val="000000"/>
          <w:sz w:val="20"/>
          <w:u w:val="single"/>
        </w:rPr>
        <w:t>No Rights as Shareholder Until Exercise; No Settlement in Cash</w:t>
      </w:r>
      <w:r>
        <w:rPr>
          <w:rFonts w:ascii="Times New Roman;Times;serif" w:hAnsi="Times New Roman;Times;serif"/>
          <w:color w:val="000000"/>
          <w:sz w:val="20"/>
        </w:rPr>
        <w:t>.  This Warrant does not entitle the Holder to any voting rights, dividends or other rights as a shareholder of the Company prior to the exercise hereof as set forth in Section 2(d)(i), except as expressly set forth in Section 3.  Without limiting any rights of a Holder to receive Warrant Shares on a “cashless exercise” pursuant to Section 2(c) or to receive cash payments pursuant to Section 2(d)(i) and Section 2(d)(iv) herein, in no event shall the Company be required to net cash settle an exercise of this Warrant.</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b)          </w:t>
      </w:r>
      <w:r>
        <w:rPr>
          <w:rFonts w:ascii="Times New Roman;Times;serif" w:hAnsi="Times New Roman;Times;serif"/>
          <w:color w:val="000000"/>
          <w:sz w:val="20"/>
          <w:u w:val="single"/>
        </w:rPr>
        <w:t>Loss, Theft, Destruction or Mutilation of Warrant</w:t>
      </w:r>
      <w:r>
        <w:rPr>
          <w:rFonts w:ascii="Times New Roman;Times;serif" w:hAnsi="Times New Roman;Times;serif"/>
          <w:color w:val="000000"/>
          <w:sz w:val="20"/>
        </w:rPr>
        <w:t>.  The Company covenants that upon receipt by the Company of evidence reasonably satisfactory to it of the loss, theft, destruction or mutilation of this Warrant or any share certificate relating to the Warrant Shares, and in case of loss, theft or destruction, of indemnity or security reasonably satisfactory to it (which, in the case of the Warrant, shall not include the posting of any bond), and upon surrender and cancellation of such Warrant or share certificate, if mutilated, the Company will make and deliver a new Warrant or share certificate of like tenor and dated as of such cancellation, in lieu of such Warrant or share certificate.</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10</w:t>
      </w:r>
    </w:p>
    <w:p>
      <w:pPr>
        <w:pStyle w:val="HorizontalLine"/>
        <w:pBdr>
          <w:bottom w:val="single" w:sz="12" w:space="0" w:color="808080"/>
        </w:pBdr>
        <w:bidi w:val="0"/>
        <w:spacing w:before="200" w:after="200"/>
        <w:jc w:val="left"/>
        <w:rPr/>
      </w:pPr>
      <w:r>
        <w:rPr/>
      </w:r>
    </w:p>
    <w:p>
      <w:pPr>
        <w:pStyle w:val="TextBody"/>
        <w:bidi w:val="0"/>
        <w:spacing w:lineRule="auto" w:line="300"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c)          </w:t>
      </w:r>
      <w:r>
        <w:rPr>
          <w:rFonts w:ascii="Times New Roman;Times;serif" w:hAnsi="Times New Roman;Times;serif"/>
          <w:color w:val="000000"/>
          <w:sz w:val="20"/>
          <w:u w:val="single"/>
        </w:rPr>
        <w:t>Saturdays, Sundays, Holidays, etc</w:t>
      </w:r>
      <w:r>
        <w:rPr>
          <w:rFonts w:ascii="Times New Roman;Times;serif" w:hAnsi="Times New Roman;Times;serif"/>
          <w:color w:val="000000"/>
          <w:sz w:val="20"/>
        </w:rPr>
        <w:t>.  If the last or appointed day for the taking of any action or the expiration of any right required or granted herein shall not be a Trading Day, then such action may be taken or such right may be exercised on the next succeeding Trading Day.</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d)          </w:t>
      </w:r>
      <w:r>
        <w:rPr>
          <w:rFonts w:ascii="Times New Roman;Times;serif" w:hAnsi="Times New Roman;Times;serif"/>
          <w:color w:val="000000"/>
          <w:sz w:val="20"/>
          <w:u w:val="single"/>
        </w:rPr>
        <w:t>Authorized Shares</w:t>
      </w:r>
      <w:r>
        <w:rPr>
          <w:rFonts w:ascii="Times New Roman;Times;serif" w:hAnsi="Times New Roman;Times;serif"/>
          <w:color w:val="000000"/>
          <w:sz w:val="20"/>
        </w:rPr>
        <w:t>.</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1440" w:right="0" w:firstLine="720"/>
        <w:jc w:val="both"/>
        <w:rPr>
          <w:rFonts w:ascii="Times New Roman;Times;serif" w:hAnsi="Times New Roman;Times;serif"/>
          <w:color w:val="000000"/>
          <w:sz w:val="20"/>
        </w:rPr>
      </w:pPr>
      <w:r>
        <w:rPr>
          <w:rFonts w:ascii="Times New Roman;Times;serif" w:hAnsi="Times New Roman;Times;serif"/>
          <w:color w:val="000000"/>
          <w:sz w:val="20"/>
        </w:rPr>
        <w:t>The Company covenants that, during the period the Warrant is outstanding, it will reserve from its authorized and unissued Ordinary Shares a sufficient number of shares to provide for the issuance of the Warrant Shares upon the exercise of any purchase rights under this Warrant.  The Company further covenants that its issuance of this Warrant shall constitute full authority to its officers who are charged with the duty of issuing the necessary Warrant Shares upon the exercise of the purchase rights under this Warrant.  The Company will take all such reasonable action as may be necessary to assure that such Warrant Shares may be issued as provided herein without violation of any applicable law or regulation, or of any requirements of the Trading Market upon which the Ordinary Shares may be listed.  The Company covenants that all Warrant Shares which may be issued upon the exercise of the purchase rights represented by this Warrant will, upon exercise of the purchase rights represented by this Warrant and payment for such Warrant Shares in accordance herewith, be duly authorized, validly issued, fully paid and nonassessable and free from all taxes, liens and charges created by the Company in respect of the issue thereof (other than taxes in respect of any transfer occurring contemporaneously with such issue).</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1440" w:right="0" w:firstLine="720"/>
        <w:jc w:val="both"/>
        <w:rPr>
          <w:rFonts w:ascii="Times New Roman;Times;serif" w:hAnsi="Times New Roman;Times;serif"/>
          <w:color w:val="000000"/>
          <w:sz w:val="20"/>
        </w:rPr>
      </w:pPr>
      <w:r>
        <w:rPr>
          <w:rFonts w:ascii="Times New Roman;Times;serif" w:hAnsi="Times New Roman;Times;serif"/>
          <w:color w:val="000000"/>
          <w:sz w:val="20"/>
        </w:rPr>
        <w:t>Except and to the extent as waived or consented to by the Holder, the Company shall not by any action, including, without limitation, amending its articles of association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(i) not increase the par value of any Warrant Shares above the amount payable therefor upon such exercise immediately prior to such increase in par value, (ii) take all such action as may be necessary or appropriate in order that the Company may validly and legally issue fully paid and nonassessable Warrant Shares upon the exercise of this Warrant and (iii) use commercially reasonable efforts to obtain all such authorizations, exemptions or consents from any public regulatory body having jurisdiction thereof, as may be, necessary to enable the Company to perform its obligations under this Warrant.</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1440" w:right="0" w:firstLine="720"/>
        <w:jc w:val="both"/>
        <w:rPr>
          <w:rFonts w:ascii="Times New Roman;Times;serif" w:hAnsi="Times New Roman;Times;serif"/>
          <w:color w:val="000000"/>
          <w:sz w:val="20"/>
        </w:rPr>
      </w:pPr>
      <w:r>
        <w:rPr>
          <w:rFonts w:ascii="Times New Roman;Times;serif" w:hAnsi="Times New Roman;Times;serif"/>
          <w:color w:val="000000"/>
          <w:sz w:val="20"/>
        </w:rPr>
        <w:t>Before taking any action which would result in an adjustment in the number of Warrant Shares for which this Warrant is exercisable or in the Exercise Price, the Company shall obtain all such authorizations or exemptions thereof, or consents thereto, as may be necessary from any public regulatory body or bodies having jurisdiction thereof.</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11</w:t>
      </w:r>
    </w:p>
    <w:p>
      <w:pPr>
        <w:pStyle w:val="HorizontalLine"/>
        <w:pBdr>
          <w:bottom w:val="single" w:sz="12" w:space="0" w:color="808080"/>
        </w:pBdr>
        <w:bidi w:val="0"/>
        <w:spacing w:before="200" w:after="200"/>
        <w:jc w:val="left"/>
        <w:rPr/>
      </w:pPr>
      <w:r>
        <w:rPr/>
      </w:r>
    </w:p>
    <w:p>
      <w:pPr>
        <w:pStyle w:val="TextBody"/>
        <w:bidi w:val="0"/>
        <w:spacing w:lineRule="auto" w:line="300"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e)          </w:t>
      </w:r>
      <w:r>
        <w:rPr>
          <w:rFonts w:ascii="Times New Roman;Times;serif" w:hAnsi="Times New Roman;Times;serif"/>
          <w:color w:val="000000"/>
          <w:sz w:val="20"/>
          <w:u w:val="single"/>
        </w:rPr>
        <w:t>Jurisdiction</w:t>
      </w:r>
      <w:r>
        <w:rPr>
          <w:rFonts w:ascii="Times New Roman;Times;serif" w:hAnsi="Times New Roman;Times;serif"/>
          <w:color w:val="000000"/>
          <w:sz w:val="20"/>
        </w:rPr>
        <w:t>.  All questions concerning the construction, validity, enforcement and interpretation of this Warrant shall be determined in accordance with the provisions of the Purchase Agreement.</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f)          </w:t>
      </w:r>
      <w:r>
        <w:rPr>
          <w:rFonts w:ascii="Times New Roman;Times;serif" w:hAnsi="Times New Roman;Times;serif"/>
          <w:color w:val="000000"/>
          <w:sz w:val="20"/>
          <w:u w:val="single"/>
        </w:rPr>
        <w:t>Restrictions</w:t>
      </w:r>
      <w:r>
        <w:rPr>
          <w:rFonts w:ascii="Times New Roman;Times;serif" w:hAnsi="Times New Roman;Times;serif"/>
          <w:color w:val="000000"/>
          <w:sz w:val="20"/>
        </w:rPr>
        <w:t>.  The Holder acknowledges that the Warrant Shares acquired upon the exercise of this Warrant, if not registered, and the Holder does not utilize cashless exercise, will have restrictions upon resale imposed by state and federal securities laws.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g)          </w:t>
      </w:r>
      <w:r>
        <w:rPr>
          <w:rFonts w:ascii="Times New Roman;Times;serif" w:hAnsi="Times New Roman;Times;serif"/>
          <w:color w:val="000000"/>
          <w:sz w:val="20"/>
          <w:u w:val="single"/>
        </w:rPr>
        <w:t>Nonwaiver and Expenses</w:t>
      </w:r>
      <w:r>
        <w:rPr>
          <w:rFonts w:ascii="Times New Roman;Times;serif" w:hAnsi="Times New Roman;Times;serif"/>
          <w:color w:val="000000"/>
          <w:sz w:val="20"/>
        </w:rPr>
        <w:t>.  No course of dealing or any delay or failure to exercise any right hereunder on the part of Holder shall operate as a waiver of such right or otherwise prejudice the Holder’s rights, powers or remedies, notwithstanding the fact that the right to exercise this Warrant terminates on the Termination Date.  Without limiting any other provision of this Warrant or the Purchase Agreement, if the Company willfully and knowingly fails to comply with any provision of this Warrant, which results in any material damages to the Holder, the Company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 hereunder.</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h)          </w:t>
      </w:r>
      <w:r>
        <w:rPr>
          <w:rFonts w:ascii="Times New Roman;Times;serif" w:hAnsi="Times New Roman;Times;serif"/>
          <w:color w:val="000000"/>
          <w:sz w:val="20"/>
          <w:u w:val="single"/>
        </w:rPr>
        <w:t>Notices</w:t>
      </w:r>
      <w:r>
        <w:rPr>
          <w:rFonts w:ascii="Times New Roman;Times;serif" w:hAnsi="Times New Roman;Times;serif"/>
          <w:color w:val="000000"/>
          <w:sz w:val="20"/>
        </w:rPr>
        <w:t>.  Any notice, request or other document required or permitted to be given or delivered to the Holder by the Company shall be delivered in accordance with the notice provisions of the Purchase Agreement.</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i)          </w:t>
      </w:r>
      <w:r>
        <w:rPr>
          <w:rFonts w:ascii="Times New Roman;Times;serif" w:hAnsi="Times New Roman;Times;serif"/>
          <w:color w:val="000000"/>
          <w:sz w:val="20"/>
          <w:u w:val="single"/>
        </w:rPr>
        <w:t>Limitation of Liability</w:t>
      </w:r>
      <w:r>
        <w:rPr>
          <w:rFonts w:ascii="Times New Roman;Times;serif" w:hAnsi="Times New Roman;Times;serif"/>
          <w:color w:val="000000"/>
          <w:sz w:val="20"/>
        </w:rPr>
        <w:t>.  No provision hereof, in the absence of any affirmative action by the Holder to exercise this Warrant to purchase Warrant Shares, and no enumeration herein of the rights or privileges of the Holder, shall give rise to any liability of the Holder for the purchase price of any Ordinary Shares or as a shareholder of the Company, whether such liability is asserted by the Company or by creditors of the Company.</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j)          </w:t>
      </w:r>
      <w:r>
        <w:rPr>
          <w:rFonts w:ascii="Times New Roman;Times;serif" w:hAnsi="Times New Roman;Times;serif"/>
          <w:color w:val="000000"/>
          <w:sz w:val="20"/>
          <w:u w:val="single"/>
        </w:rPr>
        <w:t>Remedies</w:t>
      </w:r>
      <w:r>
        <w:rPr>
          <w:rFonts w:ascii="Times New Roman;Times;serif" w:hAnsi="Times New Roman;Times;serif"/>
          <w:color w:val="000000"/>
          <w:sz w:val="20"/>
        </w:rPr>
        <w:t>.  The Holder, in addition to being entitled to exercise all rights granted by law, including recovery of damages, will be entitled to specific performance of its rights under this Warrant.  The Company agrees that monetary damages would not be adequate compensation for any loss incurred by reason of a breach by it of the provisions of this Warrant and hereby agrees to waive and not to assert the defense in any action for specific performance that a remedy at law would be adequate.</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k)          </w:t>
      </w:r>
      <w:r>
        <w:rPr>
          <w:rFonts w:ascii="Times New Roman;Times;serif" w:hAnsi="Times New Roman;Times;serif"/>
          <w:color w:val="000000"/>
          <w:sz w:val="20"/>
          <w:u w:val="single"/>
        </w:rPr>
        <w:t>Successors and Assigns</w:t>
      </w:r>
      <w:r>
        <w:rPr>
          <w:rFonts w:ascii="Times New Roman;Times;serif" w:hAnsi="Times New Roman;Times;serif"/>
          <w:color w:val="000000"/>
          <w:sz w:val="20"/>
        </w:rPr>
        <w:t>.  Subject to applicable securities laws, this Warrant and the rights and obligations evidenced hereby shall inure to the benefit of and be binding upon the successors and permitted assigns of the Company and the successors and permitted assigns of Holder.  The provisions of this Warrant are intended to be for the benefit of any Holder from time to time of this Warrant and shall be enforceable by the Holder or holder of Warrant Shares.</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12</w:t>
      </w:r>
    </w:p>
    <w:p>
      <w:pPr>
        <w:pStyle w:val="HorizontalLine"/>
        <w:pBdr>
          <w:bottom w:val="single" w:sz="12" w:space="0" w:color="808080"/>
        </w:pBdr>
        <w:bidi w:val="0"/>
        <w:spacing w:before="200" w:after="200"/>
        <w:jc w:val="left"/>
        <w:rPr/>
      </w:pPr>
      <w:r>
        <w:rPr/>
      </w:r>
    </w:p>
    <w:p>
      <w:pPr>
        <w:pStyle w:val="TextBody"/>
        <w:bidi w:val="0"/>
        <w:spacing w:lineRule="auto" w:line="300"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l)          </w:t>
      </w:r>
      <w:r>
        <w:rPr>
          <w:rFonts w:ascii="Times New Roman;Times;serif" w:hAnsi="Times New Roman;Times;serif"/>
          <w:color w:val="000000"/>
          <w:sz w:val="20"/>
          <w:u w:val="single"/>
        </w:rPr>
        <w:t>Amendment</w:t>
      </w:r>
      <w:r>
        <w:rPr>
          <w:rFonts w:ascii="Times New Roman;Times;serif" w:hAnsi="Times New Roman;Times;serif"/>
          <w:color w:val="000000"/>
          <w:sz w:val="20"/>
        </w:rPr>
        <w:t>.  Other than Section 2(e) and this Section 5(l), which may not be modified, amended or waived, this Warrant may be modified or amended or the provisions hereof waived with the written consent of the Company, on the one hand, and the Holder of this Warrant, on the other hand.</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m)          </w:t>
      </w:r>
      <w:r>
        <w:rPr>
          <w:rFonts w:ascii="Times New Roman;Times;serif" w:hAnsi="Times New Roman;Times;serif"/>
          <w:color w:val="000000"/>
          <w:sz w:val="20"/>
          <w:u w:val="single"/>
        </w:rPr>
        <w:t>Severability</w:t>
      </w:r>
      <w:r>
        <w:rPr>
          <w:rFonts w:ascii="Times New Roman;Times;serif" w:hAnsi="Times New Roman;Times;serif"/>
          <w:color w:val="000000"/>
          <w:sz w:val="20"/>
        </w:rPr>
        <w:t>.  Wherever possible, each provision of this Warrant shall be interpreted in such manner as to be effective and valid under applicable law, but if any provision of this Warrant shall be prohibited by or invalid under applicable law, such provision shall be ineffective to the extent of such prohibition or invalidity, without invalidating the remainder of such provisions or the remaining provisions of this Warrant.</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n)          </w:t>
      </w:r>
      <w:r>
        <w:rPr>
          <w:rFonts w:ascii="Times New Roman;Times;serif" w:hAnsi="Times New Roman;Times;serif"/>
          <w:color w:val="000000"/>
          <w:sz w:val="20"/>
          <w:u w:val="single"/>
        </w:rPr>
        <w:t>Headings</w:t>
      </w:r>
      <w:r>
        <w:rPr>
          <w:rFonts w:ascii="Times New Roman;Times;serif" w:hAnsi="Times New Roman;Times;serif"/>
          <w:color w:val="000000"/>
          <w:sz w:val="20"/>
        </w:rPr>
        <w:t>.  The headings used in this Warrant are for the convenience of reference only and shall not, for any purpose, be deemed a part of this Warrant.</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center"/>
        <w:rPr>
          <w:rFonts w:ascii="Times New Roman;Times;serif" w:hAnsi="Times New Roman;Times;serif"/>
          <w:color w:val="000000"/>
          <w:sz w:val="20"/>
        </w:rPr>
      </w:pPr>
      <w:r>
        <w:rPr>
          <w:rFonts w:ascii="Times New Roman;Times;serif" w:hAnsi="Times New Roman;Times;serif"/>
          <w:color w:val="000000"/>
          <w:sz w:val="20"/>
        </w:rPr>
        <w:t>********************</w:t>
      </w:r>
    </w:p>
    <w:p>
      <w:pPr>
        <w:pStyle w:val="TextBody"/>
        <w:bidi w:val="0"/>
        <w:spacing w:lineRule="auto" w:line="300" w:before="0" w:after="0"/>
        <w:jc w:val="left"/>
        <w:rPr/>
      </w:pPr>
      <w:r>
        <w:rPr/>
      </w:r>
    </w:p>
    <w:p>
      <w:pPr>
        <w:pStyle w:val="TextBody"/>
        <w:bidi w:val="0"/>
        <w:spacing w:lineRule="auto" w:line="300" w:before="0" w:after="0"/>
        <w:jc w:val="center"/>
        <w:rPr>
          <w:rFonts w:ascii="Times New Roman;Times;serif" w:hAnsi="Times New Roman;Times;serif"/>
          <w:i/>
          <w:color w:val="000000"/>
          <w:sz w:val="20"/>
        </w:rPr>
      </w:pPr>
      <w:r>
        <w:rPr>
          <w:rFonts w:ascii="Times New Roman;Times;serif" w:hAnsi="Times New Roman;Times;serif"/>
          <w:i/>
          <w:color w:val="000000"/>
          <w:sz w:val="20"/>
        </w:rPr>
        <w:t>(Signature Page Follows)</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13</w:t>
      </w:r>
    </w:p>
    <w:p>
      <w:pPr>
        <w:pStyle w:val="HorizontalLine"/>
        <w:pBdr>
          <w:bottom w:val="single" w:sz="12" w:space="0" w:color="808080"/>
        </w:pBdr>
        <w:bidi w:val="0"/>
        <w:spacing w:before="200" w:after="200"/>
        <w:jc w:val="left"/>
        <w:rPr/>
      </w:pPr>
      <w:r>
        <w:rPr/>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IN WITNESS WHEREOF, the Company has caused this Amended and Restated Pre-Funded Warrant to be executed by its officer thereunto duly authorized as of the date first above indicated.</w:t>
      </w:r>
    </w:p>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65" w:name="zbe7fe99223e04266a2eff51820bfba2b"/>
      <w:bookmarkStart w:id="66" w:name="zbe7fe99223e04266a2eff51820bfba2b"/>
      <w:bookmarkEnd w:id="66"/>
    </w:p>
    <w:tbl>
      <w:tblPr>
        <w:tblW w:w="4835" w:type="dxa"/>
        <w:jc w:val="left"/>
        <w:tblInd w:w="0" w:type="dxa"/>
        <w:tblLayout w:type="fixed"/>
        <w:tblCellMar>
          <w:top w:w="0" w:type="dxa"/>
          <w:left w:w="0" w:type="dxa"/>
          <w:bottom w:w="0" w:type="dxa"/>
          <w:right w:w="0" w:type="dxa"/>
        </w:tblCellMar>
      </w:tblPr>
      <w:tblGrid>
        <w:gridCol w:w="60"/>
        <w:gridCol w:w="4775"/>
      </w:tblGrid>
      <w:tr>
        <w:trPr/>
        <w:tc>
          <w:tcPr>
            <w:tcW w:w="60" w:type="dxa"/>
            <w:tcBorders/>
            <w:vAlign w:val="center"/>
          </w:tcPr>
          <w:p>
            <w:pPr>
              <w:pStyle w:val="TableContents"/>
              <w:bidi w:val="0"/>
              <w:spacing w:before="0" w:after="283"/>
              <w:jc w:val="left"/>
              <w:rPr/>
            </w:pPr>
            <w:r>
              <w:rPr/>
              <w:t> </w:t>
            </w:r>
          </w:p>
        </w:tc>
        <w:tc>
          <w:tcPr>
            <w:tcW w:w="4775" w:type="dxa"/>
            <w:tcBorders/>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LIFEWARD LTD.</w:t>
            </w:r>
          </w:p>
        </w:tc>
      </w:tr>
      <w:tr>
        <w:trPr/>
        <w:tc>
          <w:tcPr>
            <w:tcW w:w="60" w:type="dxa"/>
            <w:tcBorders/>
            <w:vAlign w:val="center"/>
          </w:tcPr>
          <w:p>
            <w:pPr>
              <w:pStyle w:val="TableContents"/>
              <w:bidi w:val="0"/>
              <w:spacing w:before="0" w:after="283"/>
              <w:jc w:val="left"/>
              <w:rPr/>
            </w:pPr>
            <w:r>
              <w:rPr/>
              <w:t> </w:t>
            </w:r>
          </w:p>
        </w:tc>
        <w:tc>
          <w:tcPr>
            <w:tcW w:w="477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477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By: __________________________________________</w:t>
            </w:r>
          </w:p>
          <w:p>
            <w:pPr>
              <w:pStyle w:val="TableContents"/>
              <w:bidi w:val="0"/>
              <w:spacing w:lineRule="auto" w:line="300" w:before="0" w:after="0"/>
              <w:ind w:left="360" w:right="0" w:hanging="0"/>
              <w:jc w:val="left"/>
              <w:rPr>
                <w:rFonts w:ascii="Times New Roman;Times;serif" w:hAnsi="Times New Roman;Times;serif"/>
                <w:sz w:val="20"/>
              </w:rPr>
            </w:pPr>
            <w:r>
              <w:rPr>
                <w:rFonts w:ascii="Times New Roman;Times;serif" w:hAnsi="Times New Roman;Times;serif"/>
                <w:sz w:val="20"/>
              </w:rPr>
              <w:t>Name: William Mark Grant</w:t>
            </w:r>
          </w:p>
          <w:p>
            <w:pPr>
              <w:pStyle w:val="TableContents"/>
              <w:bidi w:val="0"/>
              <w:spacing w:lineRule="auto" w:line="300" w:before="0" w:after="0"/>
              <w:ind w:left="360" w:right="0" w:hanging="0"/>
              <w:jc w:val="left"/>
              <w:rPr>
                <w:rFonts w:ascii="Times New Roman;Times;serif" w:hAnsi="Times New Roman;Times;serif"/>
                <w:sz w:val="20"/>
              </w:rPr>
            </w:pPr>
            <w:r>
              <w:rPr>
                <w:rFonts w:ascii="Times New Roman;Times;serif" w:hAnsi="Times New Roman;Times;serif"/>
                <w:sz w:val="20"/>
              </w:rPr>
              <w:t>Title: President and Chief Executive Officer</w:t>
            </w:r>
          </w:p>
        </w:tc>
      </w:tr>
    </w:tbl>
    <w:p>
      <w:pPr>
        <w:pStyle w:val="TextBody"/>
        <w:bidi w:val="0"/>
        <w:spacing w:lineRule="auto" w:line="300" w:before="0" w:after="0"/>
        <w:jc w:val="left"/>
        <w:rPr/>
      </w:pPr>
      <w:r>
        <w:rPr/>
      </w:r>
    </w:p>
    <w:p>
      <w:pPr>
        <w:pStyle w:val="HorizontalLine"/>
        <w:pBdr>
          <w:bottom w:val="single" w:sz="12" w:space="0" w:color="808080"/>
        </w:pBdr>
        <w:bidi w:val="0"/>
        <w:spacing w:before="200" w:after="200"/>
        <w:jc w:val="left"/>
        <w:rPr/>
      </w:pPr>
      <w:r>
        <w:rPr/>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Acknowledged and Agreed:</w:t>
      </w:r>
    </w:p>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67" w:name="z26715df1e8154fdf9b0b68b0955c3a03"/>
      <w:bookmarkStart w:id="68" w:name="z26715df1e8154fdf9b0b68b0955c3a03"/>
      <w:bookmarkEnd w:id="68"/>
    </w:p>
    <w:tbl>
      <w:tblPr>
        <w:tblW w:w="4730" w:type="dxa"/>
        <w:jc w:val="left"/>
        <w:tblInd w:w="0" w:type="dxa"/>
        <w:tblLayout w:type="fixed"/>
        <w:tblCellMar>
          <w:top w:w="0" w:type="dxa"/>
          <w:left w:w="0" w:type="dxa"/>
          <w:bottom w:w="0" w:type="dxa"/>
          <w:right w:w="0" w:type="dxa"/>
        </w:tblCellMar>
      </w:tblPr>
      <w:tblGrid>
        <w:gridCol w:w="4730"/>
      </w:tblGrid>
      <w:tr>
        <w:trPr/>
        <w:tc>
          <w:tcPr>
            <w:tcW w:w="4730" w:type="dxa"/>
            <w:tcBorders/>
            <w:vAlign w:val="center"/>
          </w:tcPr>
          <w:p>
            <w:pPr>
              <w:pStyle w:val="TableContents"/>
              <w:bidi w:val="0"/>
              <w:spacing w:lineRule="auto" w:line="300" w:before="0" w:after="0"/>
              <w:jc w:val="both"/>
              <w:rPr>
                <w:rFonts w:ascii="Times New Roman;Times;serif" w:hAnsi="Times New Roman;Times;serif"/>
                <w:b/>
                <w:sz w:val="20"/>
              </w:rPr>
            </w:pPr>
            <w:r>
              <w:rPr>
                <w:rFonts w:ascii="Times New Roman;Times;serif" w:hAnsi="Times New Roman;Times;serif"/>
                <w:b/>
                <w:sz w:val="20"/>
              </w:rPr>
              <w:t>ORAMED PHARMACEUTICALS INC.</w:t>
            </w:r>
          </w:p>
        </w:tc>
      </w:tr>
      <w:tr>
        <w:trPr/>
        <w:tc>
          <w:tcPr>
            <w:tcW w:w="4730" w:type="dxa"/>
            <w:tcBorders/>
            <w:vAlign w:val="center"/>
          </w:tcPr>
          <w:p>
            <w:pPr>
              <w:pStyle w:val="TableContents"/>
              <w:bidi w:val="0"/>
              <w:spacing w:before="0" w:after="283"/>
              <w:jc w:val="left"/>
              <w:rPr/>
            </w:pPr>
            <w:r>
              <w:rPr/>
              <w:t> </w:t>
            </w:r>
          </w:p>
        </w:tc>
      </w:tr>
      <w:tr>
        <w:trPr/>
        <w:tc>
          <w:tcPr>
            <w:tcW w:w="473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By:__________________________________________</w:t>
            </w:r>
          </w:p>
          <w:p>
            <w:pPr>
              <w:pStyle w:val="TableContents"/>
              <w:bidi w:val="0"/>
              <w:spacing w:lineRule="auto" w:line="300" w:before="0" w:after="0"/>
              <w:ind w:left="360" w:right="0" w:hanging="0"/>
              <w:jc w:val="left"/>
              <w:rPr>
                <w:rFonts w:ascii="Times New Roman;Times;serif" w:hAnsi="Times New Roman;Times;serif"/>
                <w:sz w:val="20"/>
              </w:rPr>
            </w:pPr>
            <w:r>
              <w:rPr>
                <w:rFonts w:ascii="Times New Roman;Times;serif" w:hAnsi="Times New Roman;Times;serif"/>
                <w:sz w:val="20"/>
              </w:rPr>
              <w:t>Name:</w:t>
            </w:r>
          </w:p>
          <w:p>
            <w:pPr>
              <w:pStyle w:val="TableContents"/>
              <w:bidi w:val="0"/>
              <w:spacing w:lineRule="auto" w:line="300" w:before="0" w:after="0"/>
              <w:ind w:left="360" w:right="0" w:hanging="0"/>
              <w:jc w:val="left"/>
              <w:rPr>
                <w:rFonts w:ascii="Times New Roman;Times;serif" w:hAnsi="Times New Roman;Times;serif"/>
                <w:sz w:val="20"/>
              </w:rPr>
            </w:pPr>
            <w:r>
              <w:rPr>
                <w:rFonts w:ascii="Times New Roman;Times;serif" w:hAnsi="Times New Roman;Times;serif"/>
                <w:sz w:val="20"/>
              </w:rPr>
              <w:t>Title:</w:t>
            </w:r>
          </w:p>
        </w:tc>
      </w:tr>
    </w:tbl>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NOTICE OF EXERCISE</w:t>
      </w:r>
    </w:p>
    <w:p>
      <w:pPr>
        <w:pStyle w:val="TextBody"/>
        <w:bidi w:val="0"/>
        <w:spacing w:lineRule="auto" w:line="300" w:before="0" w:after="0"/>
        <w:jc w:val="left"/>
        <w:rPr/>
      </w:pPr>
      <w:r>
        <w:rPr/>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TO:          [_______________________]</w:t>
      </w:r>
    </w:p>
    <w:p>
      <w:pPr>
        <w:pStyle w:val="TextBody"/>
        <w:bidi w:val="0"/>
        <w:spacing w:lineRule="auto" w:line="300" w:before="0" w:after="0"/>
        <w:jc w:val="left"/>
        <w:rPr/>
      </w:pPr>
      <w:r>
        <w:rPr/>
      </w:r>
    </w:p>
    <w:p>
      <w:pPr>
        <w:pStyle w:val="TextBody"/>
        <w:bidi w:val="0"/>
        <w:spacing w:lineRule="auto" w:line="300" w:before="0" w:after="0"/>
        <w:ind w:left="0" w:right="0" w:firstLine="1440"/>
        <w:jc w:val="both"/>
        <w:rPr>
          <w:rFonts w:ascii="Times New Roman;Times;serif" w:hAnsi="Times New Roman;Times;serif"/>
          <w:color w:val="000000"/>
          <w:sz w:val="20"/>
        </w:rPr>
      </w:pPr>
      <w:r>
        <w:rPr>
          <w:rFonts w:ascii="Times New Roman;Times;serif" w:hAnsi="Times New Roman;Times;serif"/>
          <w:color w:val="000000"/>
          <w:sz w:val="20"/>
        </w:rPr>
        <w:t>(1)          The undersigned hereby elects to purchase ________ Warrant Shares of the Company pursuant to the terms of the attached Amended and Restated Pre-Funded Warrant (only if exercised in full), and tenders herewith payment of the exercise price in full, together with all applicable transfer taxes, if any.</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1440"/>
        <w:jc w:val="both"/>
        <w:rPr>
          <w:rFonts w:ascii="Times New Roman;Times;serif" w:hAnsi="Times New Roman;Times;serif"/>
          <w:color w:val="000000"/>
          <w:sz w:val="20"/>
        </w:rPr>
      </w:pPr>
      <w:r>
        <w:rPr>
          <w:rFonts w:ascii="Times New Roman;Times;serif" w:hAnsi="Times New Roman;Times;serif"/>
          <w:color w:val="000000"/>
          <w:sz w:val="20"/>
        </w:rPr>
        <w:t>(2)          Payment shall take the form of (check applicable box):</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2160" w:right="0" w:hanging="0"/>
        <w:jc w:val="both"/>
        <w:rPr>
          <w:rFonts w:ascii="Times New Roman;Times;serif" w:hAnsi="Times New Roman;Times;serif"/>
          <w:color w:val="000000"/>
          <w:sz w:val="20"/>
        </w:rPr>
      </w:pPr>
      <w:r>
        <w:rPr>
          <w:rFonts w:ascii="Times New Roman;Times;serif" w:hAnsi="Times New Roman;Times;serif"/>
          <w:color w:val="000000"/>
          <w:sz w:val="20"/>
        </w:rPr>
        <w:t>[  ] in lawful money of the United States; or</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2160" w:right="0" w:hanging="0"/>
        <w:jc w:val="both"/>
        <w:rPr>
          <w:rFonts w:ascii="Times New Roman;Times;serif" w:hAnsi="Times New Roman;Times;serif"/>
          <w:color w:val="000000"/>
          <w:sz w:val="20"/>
        </w:rPr>
      </w:pPr>
      <w:r>
        <w:rPr>
          <w:rFonts w:ascii="Times New Roman;Times;serif" w:hAnsi="Times New Roman;Times;serif"/>
          <w:color w:val="000000"/>
          <w:sz w:val="20"/>
        </w:rPr>
        <w:t>[  ] if permitted the cancellation of such number of Warrant Shares as is necessary, in accordance with the formula set forth in subsection 2(c), to exercise this Warrant with respect to the maximum number of Warrant Shares purchasable pursuant to the cashless exercise procedure set forth in subsection 2(c).</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1440"/>
        <w:jc w:val="both"/>
        <w:rPr>
          <w:rFonts w:ascii="Times New Roman;Times;serif" w:hAnsi="Times New Roman;Times;serif"/>
          <w:color w:val="000000"/>
          <w:sz w:val="20"/>
        </w:rPr>
      </w:pPr>
      <w:r>
        <w:rPr>
          <w:rFonts w:ascii="Times New Roman;Times;serif" w:hAnsi="Times New Roman;Times;serif"/>
          <w:color w:val="000000"/>
          <w:sz w:val="20"/>
        </w:rPr>
        <w:t>(3)          Please issue said Warrant Shares in the name of the undersigned or in such other name as is specified below:</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2160"/>
        <w:jc w:val="both"/>
        <w:rPr>
          <w:rFonts w:ascii="Times New Roman;Times;serif" w:hAnsi="Times New Roman;Times;serif"/>
          <w:color w:val="000000"/>
          <w:sz w:val="20"/>
        </w:rPr>
      </w:pPr>
      <w:r>
        <w:rPr>
          <w:rFonts w:ascii="Times New Roman;Times;serif" w:hAnsi="Times New Roman;Times;serif"/>
          <w:color w:val="000000"/>
          <w:sz w:val="20"/>
        </w:rPr>
        <w:t>_______________________________</w:t>
      </w:r>
    </w:p>
    <w:p>
      <w:pPr>
        <w:pStyle w:val="TextBody"/>
        <w:bidi w:val="0"/>
        <w:spacing w:lineRule="auto" w:line="300" w:before="0" w:after="0"/>
        <w:jc w:val="left"/>
        <w:rPr/>
      </w:pPr>
      <w:r>
        <w:rPr/>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The Warrant Shares shall be delivered to the following DWAC Account Number:</w:t>
      </w:r>
    </w:p>
    <w:p>
      <w:pPr>
        <w:pStyle w:val="TextBody"/>
        <w:bidi w:val="0"/>
        <w:spacing w:lineRule="auto" w:line="300" w:before="0" w:after="0"/>
        <w:jc w:val="left"/>
        <w:rPr/>
      </w:pPr>
      <w:r>
        <w:rPr/>
      </w:r>
    </w:p>
    <w:p>
      <w:pPr>
        <w:pStyle w:val="TextBody"/>
        <w:bidi w:val="0"/>
        <w:spacing w:lineRule="auto" w:line="300" w:before="0" w:after="0"/>
        <w:ind w:left="0" w:right="0" w:firstLine="2160"/>
        <w:jc w:val="both"/>
        <w:rPr>
          <w:rFonts w:ascii="Times New Roman;Times;serif" w:hAnsi="Times New Roman;Times;serif"/>
          <w:color w:val="000000"/>
          <w:sz w:val="20"/>
        </w:rPr>
      </w:pPr>
      <w:r>
        <w:rPr>
          <w:rFonts w:ascii="Times New Roman;Times;serif" w:hAnsi="Times New Roman;Times;serif"/>
          <w:color w:val="000000"/>
          <w:sz w:val="20"/>
        </w:rPr>
        <w:t>_______________________________</w:t>
      </w:r>
    </w:p>
    <w:p>
      <w:pPr>
        <w:pStyle w:val="TextBody"/>
        <w:bidi w:val="0"/>
        <w:spacing w:lineRule="auto" w:line="300" w:before="0" w:after="0"/>
        <w:jc w:val="left"/>
        <w:rPr/>
      </w:pPr>
      <w:r>
        <w:rPr/>
      </w:r>
    </w:p>
    <w:p>
      <w:pPr>
        <w:pStyle w:val="TextBody"/>
        <w:bidi w:val="0"/>
        <w:spacing w:lineRule="auto" w:line="300" w:before="0" w:after="0"/>
        <w:ind w:left="0" w:right="0" w:firstLine="2160"/>
        <w:jc w:val="both"/>
        <w:rPr>
          <w:rFonts w:ascii="Times New Roman;Times;serif" w:hAnsi="Times New Roman;Times;serif"/>
          <w:color w:val="000000"/>
          <w:sz w:val="20"/>
        </w:rPr>
      </w:pPr>
      <w:r>
        <w:rPr>
          <w:rFonts w:ascii="Times New Roman;Times;serif" w:hAnsi="Times New Roman;Times;serif"/>
          <w:color w:val="000000"/>
          <w:sz w:val="20"/>
        </w:rPr>
        <w:t>_______________________________</w:t>
      </w:r>
    </w:p>
    <w:p>
      <w:pPr>
        <w:pStyle w:val="TextBody"/>
        <w:bidi w:val="0"/>
        <w:spacing w:lineRule="auto" w:line="300" w:before="0" w:after="0"/>
        <w:jc w:val="left"/>
        <w:rPr/>
      </w:pPr>
      <w:r>
        <w:rPr/>
      </w:r>
    </w:p>
    <w:p>
      <w:pPr>
        <w:pStyle w:val="TextBody"/>
        <w:bidi w:val="0"/>
        <w:spacing w:lineRule="auto" w:line="300" w:before="0" w:after="0"/>
        <w:ind w:left="0" w:right="0" w:firstLine="2160"/>
        <w:jc w:val="both"/>
        <w:rPr>
          <w:rFonts w:ascii="Times New Roman;Times;serif" w:hAnsi="Times New Roman;Times;serif"/>
          <w:color w:val="000000"/>
          <w:sz w:val="20"/>
        </w:rPr>
      </w:pPr>
      <w:r>
        <w:rPr>
          <w:rFonts w:ascii="Times New Roman;Times;serif" w:hAnsi="Times New Roman;Times;serif"/>
          <w:color w:val="000000"/>
          <w:sz w:val="20"/>
        </w:rPr>
        <w:t>_______________________________</w:t>
      </w:r>
    </w:p>
    <w:p>
      <w:pPr>
        <w:pStyle w:val="TextBody"/>
        <w:bidi w:val="0"/>
        <w:spacing w:lineRule="auto" w:line="300" w:before="0" w:after="0"/>
        <w:jc w:val="left"/>
        <w:rPr/>
      </w:pPr>
      <w:r>
        <w:rPr/>
      </w:r>
    </w:p>
    <w:p>
      <w:pPr>
        <w:pStyle w:val="TextBody"/>
        <w:bidi w:val="0"/>
        <w:spacing w:lineRule="auto" w:line="300" w:before="0" w:after="0"/>
        <w:ind w:left="0" w:right="0" w:firstLine="1440"/>
        <w:jc w:val="both"/>
        <w:rPr>
          <w:rFonts w:ascii="Times New Roman;Times;serif" w:hAnsi="Times New Roman;Times;serif"/>
          <w:color w:val="000000"/>
          <w:sz w:val="20"/>
        </w:rPr>
      </w:pPr>
      <w:r>
        <w:rPr>
          <w:rFonts w:ascii="Times New Roman;Times;serif" w:hAnsi="Times New Roman;Times;serif"/>
          <w:color w:val="000000"/>
          <w:sz w:val="20"/>
        </w:rPr>
        <w:t>(4)          </w:t>
      </w:r>
      <w:r>
        <w:rPr>
          <w:rFonts w:ascii="Times New Roman;Times;serif" w:hAnsi="Times New Roman;Times;serif"/>
          <w:color w:val="000000"/>
          <w:sz w:val="20"/>
          <w:u w:val="single"/>
        </w:rPr>
        <w:t>Accredited Investor</w:t>
      </w:r>
      <w:r>
        <w:rPr>
          <w:rFonts w:ascii="Times New Roman;Times;serif" w:hAnsi="Times New Roman;Times;serif"/>
          <w:color w:val="000000"/>
          <w:sz w:val="20"/>
        </w:rPr>
        <w:t>.  The undersigned is an “accredited investor” as defined in Regulation D promulgated under the Securities Act of 1933, as amended.</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[SIGNATURE OF HOLDER]</w:t>
      </w:r>
    </w:p>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69" w:name="99cef6fdca274cf3bb1be60da640a5b4"/>
      <w:bookmarkStart w:id="70" w:name="99cef6fdca274cf3bb1be60da640a5b4"/>
      <w:bookmarkEnd w:id="70"/>
    </w:p>
    <w:tbl>
      <w:tblPr>
        <w:tblW w:w="2525" w:type="dxa"/>
        <w:jc w:val="left"/>
        <w:tblInd w:w="0" w:type="dxa"/>
        <w:tblLayout w:type="fixed"/>
        <w:tblCellMar>
          <w:top w:w="0" w:type="dxa"/>
          <w:left w:w="0" w:type="dxa"/>
          <w:bottom w:w="0" w:type="dxa"/>
          <w:right w:w="0" w:type="dxa"/>
        </w:tblCellMar>
      </w:tblPr>
      <w:tblGrid>
        <w:gridCol w:w="2465"/>
        <w:gridCol w:w="60"/>
      </w:tblGrid>
      <w:tr>
        <w:trPr/>
        <w:tc>
          <w:tcPr>
            <w:tcW w:w="2465" w:type="dxa"/>
            <w:tcBorders/>
            <w:vAlign w:val="center"/>
          </w:tcPr>
          <w:p>
            <w:pPr>
              <w:pStyle w:val="TableContents"/>
              <w:bidi w:val="0"/>
              <w:spacing w:before="0" w:after="283"/>
              <w:jc w:val="left"/>
              <w:rPr/>
            </w:pPr>
            <w:r>
              <w:rPr/>
              <w:t>Name of Investing Entity:</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bl>
    <w:p>
      <w:pPr>
        <w:pStyle w:val="Normal"/>
        <w:bidi w:val="0"/>
        <w:spacing w:before="0" w:after="0"/>
        <w:jc w:val="left"/>
        <w:rPr>
          <w:sz w:val="4"/>
          <w:szCs w:val="4"/>
        </w:rPr>
      </w:pPr>
      <w:r>
        <w:rPr>
          <w:sz w:val="4"/>
          <w:szCs w:val="4"/>
        </w:rPr>
      </w:r>
      <w:bookmarkStart w:id="71" w:name="b4f7ece266f84223966be81e99d65172"/>
      <w:bookmarkStart w:id="72" w:name="b4f7ece266f84223966be81e99d65172"/>
      <w:bookmarkEnd w:id="72"/>
    </w:p>
    <w:tbl>
      <w:tblPr>
        <w:tblW w:w="4505" w:type="dxa"/>
        <w:jc w:val="left"/>
        <w:tblInd w:w="0" w:type="dxa"/>
        <w:tblLayout w:type="fixed"/>
        <w:tblCellMar>
          <w:top w:w="0" w:type="dxa"/>
          <w:left w:w="0" w:type="dxa"/>
          <w:bottom w:w="0" w:type="dxa"/>
          <w:right w:w="0" w:type="dxa"/>
        </w:tblCellMar>
      </w:tblPr>
      <w:tblGrid>
        <w:gridCol w:w="4445"/>
        <w:gridCol w:w="60"/>
      </w:tblGrid>
      <w:tr>
        <w:trPr/>
        <w:tc>
          <w:tcPr>
            <w:tcW w:w="4445" w:type="dxa"/>
            <w:tcBorders/>
            <w:vAlign w:val="center"/>
          </w:tcPr>
          <w:p>
            <w:pPr>
              <w:pStyle w:val="TableContents"/>
              <w:bidi w:val="0"/>
              <w:spacing w:before="0" w:after="283"/>
              <w:jc w:val="left"/>
              <w:rPr/>
            </w:pPr>
            <w:r>
              <w:rPr>
                <w:rFonts w:ascii="Times New Roman;Times;serif" w:hAnsi="Times New Roman;Times;serif"/>
                <w:i/>
                <w:sz w:val="20"/>
              </w:rPr>
              <w:t>Signature of Authorized Signatory of Investing Entity</w:t>
            </w:r>
            <w:r>
              <w:rPr/>
              <w:t>:</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bl>
    <w:p>
      <w:pPr>
        <w:pStyle w:val="Normal"/>
        <w:bidi w:val="0"/>
        <w:spacing w:before="0" w:after="0"/>
        <w:jc w:val="left"/>
        <w:rPr>
          <w:sz w:val="4"/>
          <w:szCs w:val="4"/>
        </w:rPr>
      </w:pPr>
      <w:r>
        <w:rPr>
          <w:sz w:val="4"/>
          <w:szCs w:val="4"/>
        </w:rPr>
      </w:r>
      <w:bookmarkStart w:id="73" w:name="2b0105948ead4a29a5b93499284210d2"/>
      <w:bookmarkStart w:id="74" w:name="2b0105948ead4a29a5b93499284210d2"/>
      <w:bookmarkEnd w:id="74"/>
    </w:p>
    <w:tbl>
      <w:tblPr>
        <w:tblW w:w="3065" w:type="dxa"/>
        <w:jc w:val="left"/>
        <w:tblInd w:w="0" w:type="dxa"/>
        <w:tblLayout w:type="fixed"/>
        <w:tblCellMar>
          <w:top w:w="0" w:type="dxa"/>
          <w:left w:w="0" w:type="dxa"/>
          <w:bottom w:w="0" w:type="dxa"/>
          <w:right w:w="0" w:type="dxa"/>
        </w:tblCellMar>
      </w:tblPr>
      <w:tblGrid>
        <w:gridCol w:w="3005"/>
        <w:gridCol w:w="60"/>
      </w:tblGrid>
      <w:tr>
        <w:trPr/>
        <w:tc>
          <w:tcPr>
            <w:tcW w:w="3005" w:type="dxa"/>
            <w:tcBorders/>
            <w:vAlign w:val="center"/>
          </w:tcPr>
          <w:p>
            <w:pPr>
              <w:pStyle w:val="TableContents"/>
              <w:bidi w:val="0"/>
              <w:spacing w:before="0" w:after="283"/>
              <w:jc w:val="left"/>
              <w:rPr/>
            </w:pPr>
            <w:r>
              <w:rPr/>
              <w:t>Name of Authorized Signatory:</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bl>
    <w:p>
      <w:pPr>
        <w:pStyle w:val="Normal"/>
        <w:bidi w:val="0"/>
        <w:spacing w:before="0" w:after="0"/>
        <w:jc w:val="left"/>
        <w:rPr>
          <w:sz w:val="4"/>
          <w:szCs w:val="4"/>
        </w:rPr>
      </w:pPr>
      <w:r>
        <w:rPr>
          <w:sz w:val="4"/>
          <w:szCs w:val="4"/>
        </w:rPr>
      </w:r>
      <w:bookmarkStart w:id="75" w:name="d0ac1350600341d3820e98c652c3b8e4"/>
      <w:bookmarkStart w:id="76" w:name="d0ac1350600341d3820e98c652c3b8e4"/>
      <w:bookmarkEnd w:id="76"/>
    </w:p>
    <w:tbl>
      <w:tblPr>
        <w:tblW w:w="2930" w:type="dxa"/>
        <w:jc w:val="left"/>
        <w:tblInd w:w="0" w:type="dxa"/>
        <w:tblLayout w:type="fixed"/>
        <w:tblCellMar>
          <w:top w:w="0" w:type="dxa"/>
          <w:left w:w="0" w:type="dxa"/>
          <w:bottom w:w="0" w:type="dxa"/>
          <w:right w:w="0" w:type="dxa"/>
        </w:tblCellMar>
      </w:tblPr>
      <w:tblGrid>
        <w:gridCol w:w="2870"/>
        <w:gridCol w:w="60"/>
      </w:tblGrid>
      <w:tr>
        <w:trPr/>
        <w:tc>
          <w:tcPr>
            <w:tcW w:w="2870" w:type="dxa"/>
            <w:tcBorders/>
            <w:vAlign w:val="center"/>
          </w:tcPr>
          <w:p>
            <w:pPr>
              <w:pStyle w:val="TableContents"/>
              <w:bidi w:val="0"/>
              <w:spacing w:before="0" w:after="283"/>
              <w:jc w:val="left"/>
              <w:rPr/>
            </w:pPr>
            <w:r>
              <w:rPr/>
              <w:t>Title of Authorized Signatory:</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bl>
    <w:p>
      <w:pPr>
        <w:pStyle w:val="Normal"/>
        <w:bidi w:val="0"/>
        <w:spacing w:before="0" w:after="0"/>
        <w:jc w:val="left"/>
        <w:rPr>
          <w:sz w:val="4"/>
          <w:szCs w:val="4"/>
        </w:rPr>
      </w:pPr>
      <w:r>
        <w:rPr>
          <w:sz w:val="4"/>
          <w:szCs w:val="4"/>
        </w:rPr>
      </w:r>
      <w:bookmarkStart w:id="77" w:name="b8182f3a9ba2449db5f2cab75fda64e5"/>
      <w:bookmarkStart w:id="78" w:name="b8182f3a9ba2449db5f2cab75fda64e5"/>
      <w:bookmarkEnd w:id="78"/>
    </w:p>
    <w:tbl>
      <w:tblPr>
        <w:tblW w:w="590" w:type="dxa"/>
        <w:jc w:val="left"/>
        <w:tblInd w:w="0" w:type="dxa"/>
        <w:tblLayout w:type="fixed"/>
        <w:tblCellMar>
          <w:top w:w="0" w:type="dxa"/>
          <w:left w:w="0" w:type="dxa"/>
          <w:bottom w:w="0" w:type="dxa"/>
          <w:right w:w="0" w:type="dxa"/>
        </w:tblCellMar>
      </w:tblPr>
      <w:tblGrid>
        <w:gridCol w:w="530"/>
        <w:gridCol w:w="60"/>
      </w:tblGrid>
      <w:tr>
        <w:trPr/>
        <w:tc>
          <w:tcPr>
            <w:tcW w:w="530" w:type="dxa"/>
            <w:tcBorders/>
            <w:vAlign w:val="center"/>
          </w:tcPr>
          <w:p>
            <w:pPr>
              <w:pStyle w:val="TableContents"/>
              <w:bidi w:val="0"/>
              <w:spacing w:before="0" w:after="283"/>
              <w:jc w:val="left"/>
              <w:rPr/>
            </w:pPr>
            <w:r>
              <w:rPr/>
              <w:t>Date:</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bl>
    <w:p>
      <w:pPr>
        <w:pStyle w:val="TextBody"/>
        <w:bidi w:val="0"/>
        <w:spacing w:lineRule="auto" w:line="300" w:before="0" w:after="0"/>
        <w:jc w:val="left"/>
        <w:rPr/>
      </w:pPr>
      <w:r>
        <w:rPr/>
      </w:r>
    </w:p>
    <w:p>
      <w:pPr>
        <w:pStyle w:val="HorizontalLine"/>
        <w:pBdr>
          <w:bottom w:val="single" w:sz="12" w:space="0" w:color="808080"/>
        </w:pBdr>
        <w:bidi w:val="0"/>
        <w:spacing w:before="200" w:after="200"/>
        <w:jc w:val="left"/>
        <w:rPr/>
      </w:pPr>
      <w:r>
        <w:rPr/>
      </w:r>
    </w:p>
    <w:p>
      <w:pPr>
        <w:pStyle w:val="TextBody"/>
        <w:bidi w:val="0"/>
        <w:spacing w:lineRule="auto" w:line="300" w:before="0" w:after="0"/>
        <w:jc w:val="both"/>
        <w:rPr/>
      </w:pPr>
      <w:r>
        <w:rPr/>
      </w:r>
    </w:p>
    <w:p>
      <w:pPr>
        <w:pStyle w:val="TextBody"/>
        <w:bidi w:val="0"/>
        <w:spacing w:lineRule="auto" w:line="300" w:before="0" w:after="0"/>
        <w:jc w:val="center"/>
        <w:rPr>
          <w:rFonts w:ascii="Times New Roman;Times;serif" w:hAnsi="Times New Roman;Times;serif"/>
          <w:color w:val="000000"/>
          <w:sz w:val="20"/>
        </w:rPr>
      </w:pPr>
      <w:r>
        <w:rPr>
          <w:rFonts w:ascii="Times New Roman;Times;serif" w:hAnsi="Times New Roman;Times;serif"/>
          <w:color w:val="000000"/>
          <w:sz w:val="20"/>
        </w:rPr>
        <w:t>ASSIGNMENT FORM</w:t>
      </w:r>
    </w:p>
    <w:p>
      <w:pPr>
        <w:pStyle w:val="TextBody"/>
        <w:bidi w:val="0"/>
        <w:spacing w:lineRule="auto" w:line="300" w:before="0" w:after="0"/>
        <w:jc w:val="center"/>
        <w:rPr>
          <w:rFonts w:ascii="Times New Roman;Times;serif" w:hAnsi="Times New Roman;Times;serif"/>
          <w:sz w:val="20"/>
        </w:rPr>
      </w:pPr>
      <w:r>
        <w:rPr>
          <w:rFonts w:ascii="Times New Roman;Times;serif" w:hAnsi="Times New Roman;Times;serif"/>
          <w:sz w:val="20"/>
        </w:rPr>
      </w:r>
    </w:p>
    <w:p>
      <w:pPr>
        <w:pStyle w:val="TextBody"/>
        <w:bidi w:val="0"/>
        <w:spacing w:lineRule="auto" w:line="300" w:before="0" w:after="0"/>
        <w:ind w:left="0" w:right="0" w:firstLine="210"/>
        <w:jc w:val="both"/>
        <w:rPr>
          <w:color w:val="000000"/>
        </w:rPr>
      </w:pPr>
      <w:r>
        <w:rPr>
          <w:color w:val="000000"/>
        </w:rPr>
        <w:t> </w:t>
      </w:r>
      <w:r>
        <w:rPr>
          <w:rFonts w:ascii="Times New Roman;Times;serif" w:hAnsi="Times New Roman;Times;serif"/>
          <w:i/>
          <w:color w:val="000000"/>
          <w:sz w:val="20"/>
        </w:rPr>
        <w:t>(To assign the foregoing Amended and Restated Pre-Funded Warrant, execute this form and supply required information.  Do not use this form to exercise the Warrant to purchase shares.)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210"/>
        <w:jc w:val="both"/>
        <w:rPr>
          <w:rFonts w:ascii="Times New Roman;Times;serif" w:hAnsi="Times New Roman;Times;serif"/>
          <w:color w:val="000000"/>
          <w:sz w:val="20"/>
        </w:rPr>
      </w:pPr>
      <w:r>
        <w:rPr>
          <w:rFonts w:ascii="Times New Roman;Times;serif" w:hAnsi="Times New Roman;Times;serif"/>
          <w:color w:val="000000"/>
          <w:sz w:val="20"/>
        </w:rPr>
        <w:t>FOR VALUE RECEIVED, the foregoing Amended and Restated Pre-Funded Warrant and all rights evidenced thereby are hereby assigned to</w:t>
      </w:r>
    </w:p>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79" w:name="2d4105c1cd0b49a891c8273a5ddcfbbd"/>
      <w:bookmarkStart w:id="80" w:name="2d4105c1cd0b49a891c8273a5ddcfbbd"/>
      <w:bookmarkEnd w:id="80"/>
    </w:p>
    <w:tbl>
      <w:tblPr>
        <w:tblW w:w="5485" w:type="dxa"/>
        <w:jc w:val="left"/>
        <w:tblInd w:w="0" w:type="dxa"/>
        <w:tblLayout w:type="fixed"/>
        <w:tblCellMar>
          <w:top w:w="0" w:type="dxa"/>
          <w:left w:w="0" w:type="dxa"/>
          <w:bottom w:w="0" w:type="dxa"/>
          <w:right w:w="0" w:type="dxa"/>
        </w:tblCellMar>
      </w:tblPr>
      <w:tblGrid>
        <w:gridCol w:w="4190"/>
        <w:gridCol w:w="1295"/>
      </w:tblGrid>
      <w:tr>
        <w:trPr/>
        <w:tc>
          <w:tcPr>
            <w:tcW w:w="4190" w:type="dxa"/>
            <w:tcBorders/>
            <w:vAlign w:val="center"/>
          </w:tcPr>
          <w:p>
            <w:pPr>
              <w:pStyle w:val="TableContents"/>
              <w:bidi w:val="0"/>
              <w:spacing w:before="0" w:after="283"/>
              <w:jc w:val="left"/>
              <w:rPr/>
            </w:pPr>
            <w:r>
              <w:rPr/>
              <w:t>Name:</w:t>
            </w:r>
          </w:p>
        </w:tc>
        <w:tc>
          <w:tcPr>
            <w:tcW w:w="1295" w:type="dxa"/>
            <w:tcBorders>
              <w:bottom w:val="single" w:sz="2" w:space="0" w:color="000000"/>
            </w:tcBorders>
            <w:tcMar>
              <w:bottom w:w="28" w:type="dxa"/>
            </w:tcMar>
            <w:vAlign w:val="center"/>
          </w:tcPr>
          <w:p>
            <w:pPr>
              <w:pStyle w:val="TableContents"/>
              <w:bidi w:val="0"/>
              <w:spacing w:before="0" w:after="283"/>
              <w:jc w:val="left"/>
              <w:rPr/>
            </w:pPr>
            <w:r>
              <w:rPr/>
            </w:r>
          </w:p>
        </w:tc>
      </w:tr>
      <w:tr>
        <w:trPr/>
        <w:tc>
          <w:tcPr>
            <w:tcW w:w="4190" w:type="dxa"/>
            <w:tcBorders/>
            <w:vAlign w:val="center"/>
          </w:tcPr>
          <w:p>
            <w:pPr>
              <w:pStyle w:val="TableContents"/>
              <w:bidi w:val="0"/>
              <w:spacing w:before="0" w:after="283"/>
              <w:jc w:val="left"/>
              <w:rPr/>
            </w:pPr>
            <w:r>
              <w:rPr/>
            </w:r>
          </w:p>
        </w:tc>
        <w:tc>
          <w:tcPr>
            <w:tcW w:w="1295" w:type="dxa"/>
            <w:tcBorders/>
            <w:vAlign w:val="center"/>
          </w:tcPr>
          <w:p>
            <w:pPr>
              <w:pStyle w:val="TableContents"/>
              <w:bidi w:val="0"/>
              <w:spacing w:before="0" w:after="283"/>
              <w:jc w:val="left"/>
              <w:rPr/>
            </w:pPr>
            <w:r>
              <w:rPr/>
              <w:t>(Please Print)</w:t>
            </w:r>
          </w:p>
        </w:tc>
      </w:tr>
      <w:tr>
        <w:trPr/>
        <w:tc>
          <w:tcPr>
            <w:tcW w:w="4190" w:type="dxa"/>
            <w:tcBorders/>
            <w:vAlign w:val="center"/>
          </w:tcPr>
          <w:p>
            <w:pPr>
              <w:pStyle w:val="TableContents"/>
              <w:bidi w:val="0"/>
              <w:spacing w:before="0" w:after="283"/>
              <w:jc w:val="left"/>
              <w:rPr/>
            </w:pPr>
            <w:r>
              <w:rPr/>
            </w:r>
          </w:p>
        </w:tc>
        <w:tc>
          <w:tcPr>
            <w:tcW w:w="1295" w:type="dxa"/>
            <w:tcBorders/>
            <w:vAlign w:val="center"/>
          </w:tcPr>
          <w:p>
            <w:pPr>
              <w:pStyle w:val="TableContents"/>
              <w:bidi w:val="0"/>
              <w:spacing w:before="0" w:after="283"/>
              <w:jc w:val="left"/>
              <w:rPr/>
            </w:pPr>
            <w:r>
              <w:rPr/>
            </w:r>
          </w:p>
        </w:tc>
      </w:tr>
      <w:tr>
        <w:trPr/>
        <w:tc>
          <w:tcPr>
            <w:tcW w:w="4190" w:type="dxa"/>
            <w:tcBorders/>
            <w:vAlign w:val="center"/>
          </w:tcPr>
          <w:p>
            <w:pPr>
              <w:pStyle w:val="TableContents"/>
              <w:bidi w:val="0"/>
              <w:spacing w:before="0" w:after="283"/>
              <w:jc w:val="left"/>
              <w:rPr/>
            </w:pPr>
            <w:r>
              <w:rPr/>
              <w:t>Address:</w:t>
            </w:r>
          </w:p>
        </w:tc>
        <w:tc>
          <w:tcPr>
            <w:tcW w:w="1295" w:type="dxa"/>
            <w:tcBorders>
              <w:bottom w:val="single" w:sz="2" w:space="0" w:color="000000"/>
            </w:tcBorders>
            <w:tcMar>
              <w:bottom w:w="28" w:type="dxa"/>
            </w:tcMar>
            <w:vAlign w:val="center"/>
          </w:tcPr>
          <w:p>
            <w:pPr>
              <w:pStyle w:val="TableContents"/>
              <w:bidi w:val="0"/>
              <w:spacing w:before="0" w:after="283"/>
              <w:jc w:val="left"/>
              <w:rPr/>
            </w:pPr>
            <w:r>
              <w:rPr/>
            </w:r>
          </w:p>
        </w:tc>
      </w:tr>
      <w:tr>
        <w:trPr/>
        <w:tc>
          <w:tcPr>
            <w:tcW w:w="4190" w:type="dxa"/>
            <w:tcBorders/>
            <w:vAlign w:val="center"/>
          </w:tcPr>
          <w:p>
            <w:pPr>
              <w:pStyle w:val="TableContents"/>
              <w:bidi w:val="0"/>
              <w:spacing w:before="0" w:after="283"/>
              <w:jc w:val="left"/>
              <w:rPr/>
            </w:pPr>
            <w:r>
              <w:rPr/>
            </w:r>
          </w:p>
        </w:tc>
        <w:tc>
          <w:tcPr>
            <w:tcW w:w="1295" w:type="dxa"/>
            <w:tcBorders/>
            <w:vAlign w:val="center"/>
          </w:tcPr>
          <w:p>
            <w:pPr>
              <w:pStyle w:val="TableContents"/>
              <w:bidi w:val="0"/>
              <w:spacing w:before="0" w:after="283"/>
              <w:jc w:val="left"/>
              <w:rPr/>
            </w:pPr>
            <w:r>
              <w:rPr/>
              <w:t>(Please Print)</w:t>
            </w:r>
          </w:p>
        </w:tc>
      </w:tr>
      <w:tr>
        <w:trPr/>
        <w:tc>
          <w:tcPr>
            <w:tcW w:w="4190" w:type="dxa"/>
            <w:tcBorders/>
            <w:vAlign w:val="center"/>
          </w:tcPr>
          <w:p>
            <w:pPr>
              <w:pStyle w:val="TableContents"/>
              <w:bidi w:val="0"/>
              <w:spacing w:before="0" w:after="283"/>
              <w:jc w:val="left"/>
              <w:rPr/>
            </w:pPr>
            <w:r>
              <w:rPr/>
            </w:r>
          </w:p>
        </w:tc>
        <w:tc>
          <w:tcPr>
            <w:tcW w:w="1295" w:type="dxa"/>
            <w:tcBorders/>
            <w:vAlign w:val="center"/>
          </w:tcPr>
          <w:p>
            <w:pPr>
              <w:pStyle w:val="TableContents"/>
              <w:bidi w:val="0"/>
              <w:spacing w:before="0" w:after="283"/>
              <w:jc w:val="left"/>
              <w:rPr/>
            </w:pPr>
            <w:r>
              <w:rPr/>
            </w:r>
          </w:p>
        </w:tc>
      </w:tr>
      <w:tr>
        <w:trPr/>
        <w:tc>
          <w:tcPr>
            <w:tcW w:w="4190" w:type="dxa"/>
            <w:tcBorders/>
            <w:vAlign w:val="center"/>
          </w:tcPr>
          <w:p>
            <w:pPr>
              <w:pStyle w:val="TableContents"/>
              <w:bidi w:val="0"/>
              <w:spacing w:before="0" w:after="283"/>
              <w:jc w:val="left"/>
              <w:rPr/>
            </w:pPr>
            <w:r>
              <w:rPr/>
              <w:t>Phone Number:</w:t>
            </w:r>
          </w:p>
        </w:tc>
        <w:tc>
          <w:tcPr>
            <w:tcW w:w="1295" w:type="dxa"/>
            <w:tcBorders>
              <w:bottom w:val="single" w:sz="2" w:space="0" w:color="000000"/>
            </w:tcBorders>
            <w:tcMar>
              <w:bottom w:w="28" w:type="dxa"/>
            </w:tcMar>
            <w:vAlign w:val="center"/>
          </w:tcPr>
          <w:p>
            <w:pPr>
              <w:pStyle w:val="TableContents"/>
              <w:bidi w:val="0"/>
              <w:spacing w:before="0" w:after="283"/>
              <w:jc w:val="left"/>
              <w:rPr/>
            </w:pPr>
            <w:r>
              <w:rPr/>
            </w:r>
          </w:p>
        </w:tc>
      </w:tr>
      <w:tr>
        <w:trPr/>
        <w:tc>
          <w:tcPr>
            <w:tcW w:w="4190" w:type="dxa"/>
            <w:tcBorders/>
            <w:vAlign w:val="center"/>
          </w:tcPr>
          <w:p>
            <w:pPr>
              <w:pStyle w:val="TableContents"/>
              <w:bidi w:val="0"/>
              <w:spacing w:before="0" w:after="283"/>
              <w:jc w:val="left"/>
              <w:rPr/>
            </w:pPr>
            <w:r>
              <w:rPr/>
            </w:r>
          </w:p>
        </w:tc>
        <w:tc>
          <w:tcPr>
            <w:tcW w:w="1295" w:type="dxa"/>
            <w:tcBorders/>
            <w:vAlign w:val="center"/>
          </w:tcPr>
          <w:p>
            <w:pPr>
              <w:pStyle w:val="TableContents"/>
              <w:bidi w:val="0"/>
              <w:spacing w:before="0" w:after="283"/>
              <w:jc w:val="left"/>
              <w:rPr/>
            </w:pPr>
            <w:r>
              <w:rPr/>
            </w:r>
          </w:p>
        </w:tc>
      </w:tr>
      <w:tr>
        <w:trPr/>
        <w:tc>
          <w:tcPr>
            <w:tcW w:w="4190" w:type="dxa"/>
            <w:tcBorders/>
            <w:vAlign w:val="center"/>
          </w:tcPr>
          <w:p>
            <w:pPr>
              <w:pStyle w:val="TableContents"/>
              <w:bidi w:val="0"/>
              <w:spacing w:before="0" w:after="283"/>
              <w:jc w:val="left"/>
              <w:rPr/>
            </w:pPr>
            <w:r>
              <w:rPr/>
              <w:t>Email Address:</w:t>
            </w:r>
          </w:p>
        </w:tc>
        <w:tc>
          <w:tcPr>
            <w:tcW w:w="1295" w:type="dxa"/>
            <w:tcBorders>
              <w:bottom w:val="single" w:sz="2" w:space="0" w:color="000000"/>
            </w:tcBorders>
            <w:tcMar>
              <w:bottom w:w="28" w:type="dxa"/>
            </w:tcMar>
            <w:vAlign w:val="center"/>
          </w:tcPr>
          <w:p>
            <w:pPr>
              <w:pStyle w:val="TableContents"/>
              <w:bidi w:val="0"/>
              <w:spacing w:before="0" w:after="283"/>
              <w:jc w:val="left"/>
              <w:rPr/>
            </w:pPr>
            <w:r>
              <w:rPr/>
            </w:r>
          </w:p>
        </w:tc>
      </w:tr>
      <w:tr>
        <w:trPr/>
        <w:tc>
          <w:tcPr>
            <w:tcW w:w="4190" w:type="dxa"/>
            <w:tcBorders/>
            <w:vAlign w:val="center"/>
          </w:tcPr>
          <w:p>
            <w:pPr>
              <w:pStyle w:val="TableContents"/>
              <w:bidi w:val="0"/>
              <w:spacing w:before="0" w:after="283"/>
              <w:jc w:val="left"/>
              <w:rPr/>
            </w:pPr>
            <w:r>
              <w:rPr/>
            </w:r>
          </w:p>
        </w:tc>
        <w:tc>
          <w:tcPr>
            <w:tcW w:w="1295" w:type="dxa"/>
            <w:tcBorders/>
            <w:vAlign w:val="center"/>
          </w:tcPr>
          <w:p>
            <w:pPr>
              <w:pStyle w:val="TableContents"/>
              <w:bidi w:val="0"/>
              <w:spacing w:before="0" w:after="283"/>
              <w:jc w:val="left"/>
              <w:rPr/>
            </w:pPr>
            <w:r>
              <w:rPr/>
            </w:r>
          </w:p>
        </w:tc>
      </w:tr>
      <w:tr>
        <w:trPr/>
        <w:tc>
          <w:tcPr>
            <w:tcW w:w="4190" w:type="dxa"/>
            <w:tcBorders/>
            <w:vAlign w:val="center"/>
          </w:tcPr>
          <w:p>
            <w:pPr>
              <w:pStyle w:val="TableContents"/>
              <w:bidi w:val="0"/>
              <w:spacing w:before="0" w:after="283"/>
              <w:jc w:val="left"/>
              <w:rPr/>
            </w:pPr>
            <w:r>
              <w:rPr/>
              <w:t>Dated: _______________ __, ______</w:t>
            </w:r>
          </w:p>
        </w:tc>
        <w:tc>
          <w:tcPr>
            <w:tcW w:w="1295" w:type="dxa"/>
            <w:tcBorders/>
            <w:vAlign w:val="center"/>
          </w:tcPr>
          <w:p>
            <w:pPr>
              <w:pStyle w:val="TableContents"/>
              <w:bidi w:val="0"/>
              <w:spacing w:before="0" w:after="283"/>
              <w:jc w:val="left"/>
              <w:rPr/>
            </w:pPr>
            <w:r>
              <w:rPr/>
            </w:r>
          </w:p>
        </w:tc>
      </w:tr>
      <w:tr>
        <w:trPr/>
        <w:tc>
          <w:tcPr>
            <w:tcW w:w="4190" w:type="dxa"/>
            <w:tcBorders/>
            <w:vAlign w:val="center"/>
          </w:tcPr>
          <w:p>
            <w:pPr>
              <w:pStyle w:val="TableContents"/>
              <w:bidi w:val="0"/>
              <w:spacing w:before="0" w:after="283"/>
              <w:jc w:val="left"/>
              <w:rPr/>
            </w:pPr>
            <w:r>
              <w:rPr/>
            </w:r>
          </w:p>
        </w:tc>
        <w:tc>
          <w:tcPr>
            <w:tcW w:w="1295" w:type="dxa"/>
            <w:tcBorders/>
            <w:vAlign w:val="center"/>
          </w:tcPr>
          <w:p>
            <w:pPr>
              <w:pStyle w:val="TableContents"/>
              <w:bidi w:val="0"/>
              <w:spacing w:before="0" w:after="283"/>
              <w:jc w:val="left"/>
              <w:rPr/>
            </w:pPr>
            <w:r>
              <w:rPr/>
            </w:r>
          </w:p>
        </w:tc>
      </w:tr>
      <w:tr>
        <w:trPr/>
        <w:tc>
          <w:tcPr>
            <w:tcW w:w="4190" w:type="dxa"/>
            <w:tcBorders/>
            <w:vAlign w:val="center"/>
          </w:tcPr>
          <w:p>
            <w:pPr>
              <w:pStyle w:val="TableContents"/>
              <w:bidi w:val="0"/>
              <w:spacing w:before="0" w:after="283"/>
              <w:jc w:val="left"/>
              <w:rPr/>
            </w:pPr>
            <w:r>
              <w:rPr>
                <w:rFonts w:ascii="Times New Roman;Times;serif" w:hAnsi="Times New Roman;Times;serif"/>
                <w:sz w:val="20"/>
              </w:rPr>
              <w:t>Holder’s Signature:</w:t>
            </w:r>
            <w:r>
              <w:rPr/>
              <w:t> </w:t>
            </w:r>
            <w:r>
              <w:rPr>
                <w:u w:val="single"/>
              </w:rPr>
              <w:t xml:space="preserve">                                          </w:t>
            </w:r>
          </w:p>
        </w:tc>
        <w:tc>
          <w:tcPr>
            <w:tcW w:w="1295" w:type="dxa"/>
            <w:tcBorders/>
            <w:vAlign w:val="center"/>
          </w:tcPr>
          <w:p>
            <w:pPr>
              <w:pStyle w:val="TableContents"/>
              <w:bidi w:val="0"/>
              <w:spacing w:before="0" w:after="283"/>
              <w:jc w:val="left"/>
              <w:rPr/>
            </w:pPr>
            <w:r>
              <w:rPr/>
            </w:r>
          </w:p>
        </w:tc>
      </w:tr>
      <w:tr>
        <w:trPr/>
        <w:tc>
          <w:tcPr>
            <w:tcW w:w="4190" w:type="dxa"/>
            <w:tcBorders/>
            <w:vAlign w:val="center"/>
          </w:tcPr>
          <w:p>
            <w:pPr>
              <w:pStyle w:val="TableContents"/>
              <w:bidi w:val="0"/>
              <w:spacing w:before="0" w:after="283"/>
              <w:jc w:val="left"/>
              <w:rPr/>
            </w:pPr>
            <w:r>
              <w:rPr/>
            </w:r>
          </w:p>
        </w:tc>
        <w:tc>
          <w:tcPr>
            <w:tcW w:w="1295" w:type="dxa"/>
            <w:tcBorders/>
            <w:vAlign w:val="center"/>
          </w:tcPr>
          <w:p>
            <w:pPr>
              <w:pStyle w:val="TableContents"/>
              <w:bidi w:val="0"/>
              <w:spacing w:before="0" w:after="283"/>
              <w:jc w:val="left"/>
              <w:rPr/>
            </w:pPr>
            <w:r>
              <w:rPr/>
            </w:r>
          </w:p>
        </w:tc>
      </w:tr>
      <w:tr>
        <w:trPr/>
        <w:tc>
          <w:tcPr>
            <w:tcW w:w="4190" w:type="dxa"/>
            <w:tcBorders/>
            <w:vAlign w:val="center"/>
          </w:tcPr>
          <w:p>
            <w:pPr>
              <w:pStyle w:val="TableContents"/>
              <w:bidi w:val="0"/>
              <w:spacing w:before="0" w:after="283"/>
              <w:jc w:val="left"/>
              <w:rPr/>
            </w:pPr>
            <w:r>
              <w:rPr>
                <w:rFonts w:ascii="Times New Roman;Times;serif" w:hAnsi="Times New Roman;Times;serif"/>
                <w:sz w:val="20"/>
              </w:rPr>
              <w:t>Holder’s Address:</w:t>
            </w:r>
            <w:r>
              <w:rPr/>
              <w:t> </w:t>
            </w:r>
            <w:r>
              <w:rPr>
                <w:u w:val="single"/>
              </w:rPr>
              <w:t xml:space="preserve">                                            </w:t>
            </w:r>
          </w:p>
        </w:tc>
        <w:tc>
          <w:tcPr>
            <w:tcW w:w="1295" w:type="dxa"/>
            <w:tcBorders/>
            <w:vAlign w:val="center"/>
          </w:tcPr>
          <w:p>
            <w:pPr>
              <w:pStyle w:val="TableContents"/>
              <w:bidi w:val="0"/>
              <w:spacing w:before="0" w:after="283"/>
              <w:jc w:val="left"/>
              <w:rPr/>
            </w:pPr>
            <w:r>
              <w:rPr/>
            </w:r>
          </w:p>
        </w:tc>
      </w:tr>
    </w:tbl>
    <w:p>
      <w:pPr>
        <w:pStyle w:val="TextBody"/>
        <w:bidi w:val="0"/>
        <w:spacing w:lineRule="auto" w:line="300" w:before="0" w:after="0"/>
        <w:jc w:val="left"/>
        <w:rPr/>
      </w:pPr>
      <w:r>
        <w:rPr/>
      </w:r>
    </w:p>
    <w:p>
      <w:pPr>
        <w:pStyle w:val="HorizontalLine"/>
        <w:bidi w:val="0"/>
        <w:jc w:val="left"/>
        <w:rPr/>
      </w:pPr>
      <w:r>
        <w:rPr/>
      </w:r>
    </w:p>
    <w:p>
      <w:pPr>
        <w:pStyle w:val="HorizontalLine"/>
        <w:bidi w:val="0"/>
        <w:jc w:val="left"/>
        <w:rPr/>
      </w:pPr>
      <w:r>
        <w:rPr/>
      </w:r>
      <w:bookmarkStart w:id="81" w:name="exhibit_4-4.htm"/>
      <w:bookmarkStart w:id="82" w:name="ksexhibit_44"/>
      <w:bookmarkStart w:id="83" w:name="exhibit_4-4.htm"/>
      <w:bookmarkStart w:id="84" w:name="ksexhibit_44"/>
      <w:bookmarkEnd w:id="83"/>
      <w:bookmarkEnd w:id="84"/>
      <w:r>
        <w:br w:type="page"/>
      </w:r>
    </w:p>
    <w:p>
      <w:pPr>
        <w:pStyle w:val="TextBody"/>
        <w:bidi w:val="0"/>
        <w:spacing w:before="0" w:after="0"/>
        <w:jc w:val="right"/>
        <w:rPr>
          <w:rFonts w:ascii="Times New Roman;Times;serif" w:hAnsi="Times New Roman;Times;serif"/>
          <w:b/>
          <w:color w:val="000000"/>
          <w:sz w:val="20"/>
          <w:u w:val="single"/>
        </w:rPr>
      </w:pPr>
      <w:r>
        <w:rPr>
          <w:rFonts w:ascii="Times New Roman;Times;serif" w:hAnsi="Times New Roman;Times;serif"/>
          <w:b/>
          <w:color w:val="000000"/>
          <w:sz w:val="20"/>
          <w:u w:val="single"/>
        </w:rPr>
        <w:t>Exhibit 4.4</w:t>
      </w:r>
    </w:p>
    <w:p>
      <w:pPr>
        <w:pStyle w:val="TextBody"/>
        <w:bidi w:val="0"/>
        <w:spacing w:before="0" w:after="0"/>
        <w:jc w:val="left"/>
        <w:rPr/>
      </w:pPr>
      <w:r>
        <w:rPr/>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b/>
          <w:color w:val="000000"/>
          <w:sz w:val="20"/>
        </w:rPr>
        <w:t>THE SECURITIES REFERENCED HEREIN HAVE NOT BEEN REGISTERED UNDER THE SECURITIES ACT OF 1933</w:t>
      </w:r>
      <w:r>
        <w:rPr>
          <w:rFonts w:ascii="Times New Roman;Times;serif" w:hAnsi="Times New Roman;Times;serif"/>
          <w:color w:val="000000"/>
          <w:sz w:val="20"/>
        </w:rPr>
        <w:t xml:space="preserve">, </w:t>
      </w:r>
      <w:r>
        <w:rPr>
          <w:rFonts w:ascii="Times New Roman;Times;serif" w:hAnsi="Times New Roman;Times;serif"/>
          <w:b/>
          <w:color w:val="000000"/>
          <w:sz w:val="20"/>
        </w:rPr>
        <w:t>AND HAVE BEEN ACQUIRED FOR INVESTMENT AND NOT WITH A VIEW TO</w:t>
      </w:r>
      <w:r>
        <w:rPr>
          <w:rFonts w:ascii="Times New Roman;Times;serif" w:hAnsi="Times New Roman;Times;serif"/>
          <w:color w:val="000000"/>
          <w:sz w:val="20"/>
        </w:rPr>
        <w:t xml:space="preserve">, </w:t>
      </w:r>
      <w:r>
        <w:rPr>
          <w:rFonts w:ascii="Times New Roman;Times;serif" w:hAnsi="Times New Roman;Times;serif"/>
          <w:b/>
          <w:color w:val="000000"/>
          <w:sz w:val="20"/>
        </w:rPr>
        <w:t>OR IN CONNECTION WITH, THE SALE OR DISTRIBUTION THEREOF</w:t>
      </w:r>
      <w:r>
        <w:rPr>
          <w:rFonts w:ascii="Times New Roman;Times;serif" w:hAnsi="Times New Roman;Times;serif"/>
          <w:color w:val="000000"/>
          <w:sz w:val="20"/>
        </w:rPr>
        <w:t xml:space="preserve">. </w:t>
      </w:r>
      <w:r>
        <w:rPr>
          <w:rFonts w:ascii="Times New Roman;Times;serif" w:hAnsi="Times New Roman;Times;serif"/>
          <w:b/>
          <w:color w:val="000000"/>
          <w:sz w:val="20"/>
        </w:rPr>
        <w:t>NO SUCH SALE OR DISTRIBUTION MAY BE EFFECTED WITHOUT AN EFFECTIVE REGISTRATION STATEMENT RELATED THERETO OR AN OPINION OF COUNSEL IN A FORM SATISFACTORY TO THE COMPANY THAT SUCH REGISTRATION IS NOT REQUIRED UNDER THE SECURITIES ACT OF 1933</w:t>
      </w:r>
      <w:r>
        <w:rPr>
          <w:rFonts w:ascii="Times New Roman;Times;serif" w:hAnsi="Times New Roman;Times;serif"/>
          <w:color w:val="000000"/>
          <w:sz w:val="20"/>
        </w:rPr>
        <w:t>.</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b/>
          <w:color w:val="000000"/>
          <w:sz w:val="20"/>
        </w:rPr>
        <w:t>ANY TRANSFEREE OF THIS NOTE SHOULD CAREFULLY REVIEW THE TERMS OF THIS NOTE</w:t>
      </w:r>
      <w:r>
        <w:rPr>
          <w:rFonts w:ascii="Times New Roman;Times;serif" w:hAnsi="Times New Roman;Times;serif"/>
          <w:color w:val="000000"/>
          <w:sz w:val="20"/>
        </w:rPr>
        <w:t xml:space="preserve">. </w:t>
      </w:r>
      <w:r>
        <w:rPr>
          <w:rFonts w:ascii="Times New Roman;Times;serif" w:hAnsi="Times New Roman;Times;serif"/>
          <w:b/>
          <w:color w:val="000000"/>
          <w:sz w:val="20"/>
        </w:rPr>
        <w:t>THE PRINCIPAL AMOUNT REPRESENTED BY THIS NOTE AND</w:t>
      </w:r>
      <w:r>
        <w:rPr>
          <w:rFonts w:ascii="Times New Roman;Times;serif" w:hAnsi="Times New Roman;Times;serif"/>
          <w:color w:val="000000"/>
          <w:sz w:val="20"/>
        </w:rPr>
        <w:t xml:space="preserve">, </w:t>
      </w:r>
      <w:r>
        <w:rPr>
          <w:rFonts w:ascii="Times New Roman;Times;serif" w:hAnsi="Times New Roman;Times;serif"/>
          <w:b/>
          <w:color w:val="000000"/>
          <w:sz w:val="20"/>
        </w:rPr>
        <w:t>ACCORDINGLY</w:t>
      </w:r>
      <w:r>
        <w:rPr>
          <w:rFonts w:ascii="Times New Roman;Times;serif" w:hAnsi="Times New Roman;Times;serif"/>
          <w:color w:val="000000"/>
          <w:sz w:val="20"/>
        </w:rPr>
        <w:t xml:space="preserve">, </w:t>
      </w:r>
      <w:r>
        <w:rPr>
          <w:rFonts w:ascii="Times New Roman;Times;serif" w:hAnsi="Times New Roman;Times;serif"/>
          <w:b/>
          <w:color w:val="000000"/>
          <w:sz w:val="20"/>
        </w:rPr>
        <w:t>THE SECURITIES ISSUABLE UPON CONVERSION HEREOF MAY BE LESS THAN THE AMOUNTS SET FORTH ON THE FACE HEREOF PURSUANT TO SECTION 4</w:t>
      </w:r>
      <w:r>
        <w:rPr>
          <w:rFonts w:ascii="Times New Roman;Times;serif" w:hAnsi="Times New Roman;Times;serif"/>
          <w:color w:val="000000"/>
          <w:sz w:val="20"/>
        </w:rPr>
        <w:t>(</w:t>
      </w:r>
      <w:r>
        <w:rPr>
          <w:rFonts w:ascii="Times New Roman;Times;serif" w:hAnsi="Times New Roman;Times;serif"/>
          <w:b/>
          <w:color w:val="000000"/>
          <w:sz w:val="20"/>
        </w:rPr>
        <w:t>a</w:t>
      </w:r>
      <w:r>
        <w:rPr>
          <w:rFonts w:ascii="Times New Roman;Times;serif" w:hAnsi="Times New Roman;Times;serif"/>
          <w:color w:val="000000"/>
          <w:sz w:val="20"/>
        </w:rPr>
        <w:t xml:space="preserve">) </w:t>
      </w:r>
      <w:r>
        <w:rPr>
          <w:rFonts w:ascii="Times New Roman;Times;serif" w:hAnsi="Times New Roman;Times;serif"/>
          <w:b/>
          <w:color w:val="000000"/>
          <w:sz w:val="20"/>
        </w:rPr>
        <w:t>OF THIS NOTE</w:t>
      </w:r>
      <w:r>
        <w:rPr>
          <w:rFonts w:ascii="Times New Roman;Times;serif" w:hAnsi="Times New Roman;Times;serif"/>
          <w:color w:val="000000"/>
          <w:sz w:val="20"/>
        </w:rPr>
        <w:t>.</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Original Issue Date: [________]</w:t>
      </w:r>
    </w:p>
    <w:p>
      <w:pPr>
        <w:pStyle w:val="TextBody"/>
        <w:bidi w:val="0"/>
        <w:spacing w:lineRule="auto" w:line="300" w:before="0" w:after="0"/>
        <w:jc w:val="right"/>
        <w:rPr>
          <w:rFonts w:ascii="Times New Roman;Times;serif" w:hAnsi="Times New Roman;Times;serif"/>
          <w:color w:val="000000"/>
          <w:sz w:val="20"/>
        </w:rPr>
      </w:pPr>
      <w:r>
        <w:rPr>
          <w:rFonts w:ascii="Times New Roman;Times;serif" w:hAnsi="Times New Roman;Times;serif"/>
          <w:color w:val="000000"/>
          <w:sz w:val="20"/>
        </w:rPr>
        <w:t>$[  ]</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SENIOR SECURED CONVERTIBLE NOTE</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922"/>
        <w:jc w:val="both"/>
        <w:rPr>
          <w:rFonts w:ascii="Times New Roman;Times;serif" w:hAnsi="Times New Roman;Times;serif"/>
          <w:color w:val="000000"/>
          <w:sz w:val="20"/>
        </w:rPr>
      </w:pPr>
      <w:r>
        <w:rPr>
          <w:rFonts w:ascii="Times New Roman;Times;serif" w:hAnsi="Times New Roman;Times;serif"/>
          <w:color w:val="000000"/>
          <w:sz w:val="20"/>
        </w:rPr>
        <w:t>THIS SENIOR SECURED CONVERTIBLE NOTE is one of a series of duly authorized and validly issued Senior Secured Convertible Notes of Lifeward Ltd., an Israeli company (the “</w:t>
      </w:r>
      <w:r>
        <w:rPr>
          <w:rFonts w:ascii="Times New Roman;Times;serif" w:hAnsi="Times New Roman;Times;serif"/>
          <w:color w:val="000000"/>
          <w:sz w:val="20"/>
          <w:u w:val="single"/>
        </w:rPr>
        <w:t>Company</w:t>
      </w:r>
      <w:r>
        <w:rPr>
          <w:rFonts w:ascii="Times New Roman;Times;serif" w:hAnsi="Times New Roman;Times;serif"/>
          <w:color w:val="000000"/>
          <w:sz w:val="20"/>
        </w:rPr>
        <w:t>”), designated as its Senior Secured Convertible Note (this note, the “</w:t>
      </w:r>
      <w:r>
        <w:rPr>
          <w:rFonts w:ascii="Times New Roman;Times;serif" w:hAnsi="Times New Roman;Times;serif"/>
          <w:color w:val="000000"/>
          <w:sz w:val="20"/>
          <w:u w:val="single"/>
        </w:rPr>
        <w:t>Note</w:t>
      </w:r>
      <w:r>
        <w:rPr>
          <w:rFonts w:ascii="Times New Roman;Times;serif" w:hAnsi="Times New Roman;Times;serif"/>
          <w:color w:val="000000"/>
          <w:sz w:val="20"/>
        </w:rPr>
        <w:t>” and, collectively with the other notes of such series, the “</w:t>
      </w:r>
      <w:r>
        <w:rPr>
          <w:rFonts w:ascii="Times New Roman;Times;serif" w:hAnsi="Times New Roman;Times;serif"/>
          <w:color w:val="000000"/>
          <w:sz w:val="20"/>
          <w:u w:val="single"/>
        </w:rPr>
        <w:t>Notes</w:t>
      </w:r>
      <w:r>
        <w:rPr>
          <w:rFonts w:ascii="Times New Roman;Times;serif" w:hAnsi="Times New Roman;Times;serif"/>
          <w:color w:val="000000"/>
          <w:sz w:val="20"/>
        </w:rPr>
        <w:t>”) and is issued pursuant to the Purchase Agreement (as defined below).</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FOR VALUE RECEIVED, the Company promises to pay to [●] or its registered permitted assigns (the “</w:t>
      </w:r>
      <w:r>
        <w:rPr>
          <w:rFonts w:ascii="Times New Roman;Times;serif" w:hAnsi="Times New Roman;Times;serif"/>
          <w:color w:val="000000"/>
          <w:sz w:val="20"/>
          <w:u w:val="single"/>
        </w:rPr>
        <w:t>Holder</w:t>
      </w:r>
      <w:r>
        <w:rPr>
          <w:rFonts w:ascii="Times New Roman;Times;serif" w:hAnsi="Times New Roman;Times;serif"/>
          <w:color w:val="000000"/>
          <w:sz w:val="20"/>
        </w:rPr>
        <w:t>”), or shall have paid pursuant to the terms hereunder, the principal sum of up to $[  ] on [________] (the “</w:t>
      </w:r>
      <w:r>
        <w:rPr>
          <w:rFonts w:ascii="Times New Roman;Times;serif" w:hAnsi="Times New Roman;Times;serif"/>
          <w:color w:val="000000"/>
          <w:sz w:val="20"/>
          <w:u w:val="single"/>
        </w:rPr>
        <w:t>Maturity Date</w:t>
      </w:r>
      <w:r>
        <w:rPr>
          <w:rFonts w:ascii="Times New Roman;Times;serif" w:hAnsi="Times New Roman;Times;serif"/>
          <w:color w:val="000000"/>
          <w:sz w:val="20"/>
        </w:rPr>
        <w:t>”), or such earlier date as this Note is required or permitted to be repaid or converted as provided hereunder; provided, however, that the Maturity Date may be extended by the written mutual consent of the Company and the Holder. On the Maturity Date, the Company promises to pay to the Holder, or shall have paid pursuant to the terms hereunder, any interest to the Holder on the aggregate unconverted and then outstanding principal amount of this Note in accordance with the provisions hereof.  This Note is subject to the following additional provisions: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10"/>
        <w:jc w:val="both"/>
        <w:rPr>
          <w:rFonts w:ascii="Times New Roman;Times;serif" w:hAnsi="Times New Roman;Times;serif"/>
          <w:color w:val="000000"/>
          <w:sz w:val="20"/>
        </w:rPr>
      </w:pPr>
      <w:r>
        <w:rPr>
          <w:rFonts w:ascii="Times New Roman;Times;serif" w:hAnsi="Times New Roman;Times;serif"/>
          <w:color w:val="000000"/>
          <w:sz w:val="20"/>
          <w:u w:val="single"/>
        </w:rPr>
        <w:t>Section 1.</w:t>
      </w:r>
      <w:r>
        <w:rPr>
          <w:rFonts w:ascii="Times New Roman;Times;serif" w:hAnsi="Times New Roman;Times;serif"/>
          <w:color w:val="000000"/>
          <w:sz w:val="20"/>
        </w:rPr>
        <w:t>          </w:t>
      </w:r>
      <w:r>
        <w:rPr>
          <w:rFonts w:ascii="Times New Roman;Times;serif" w:hAnsi="Times New Roman;Times;serif"/>
          <w:color w:val="000000"/>
          <w:sz w:val="20"/>
          <w:u w:val="single"/>
        </w:rPr>
        <w:t>Definitions</w:t>
      </w:r>
      <w:r>
        <w:rPr>
          <w:rFonts w:ascii="Times New Roman;Times;serif" w:hAnsi="Times New Roman;Times;serif"/>
          <w:color w:val="000000"/>
          <w:sz w:val="20"/>
        </w:rPr>
        <w:t>. For the purposes hereof, in addition to the terms defined elsewhere in this Note, (a) capitalized terms not otherwise defined herein shall have the meanings set forth in the Purchase Agreement, and (b) the following terms shall have the following meanings: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color w:val="000000"/>
        </w:rPr>
      </w:pPr>
      <w:r>
        <w:rPr>
          <w:color w:val="000000"/>
        </w:rPr>
        <w:t>“</w:t>
      </w:r>
      <w:r>
        <w:rPr>
          <w:rFonts w:ascii="Times New Roman;Times;serif" w:hAnsi="Times New Roman;Times;serif"/>
          <w:color w:val="000000"/>
          <w:sz w:val="20"/>
          <w:u w:val="single"/>
        </w:rPr>
        <w:t>Additional Existing Notes</w:t>
      </w:r>
      <w:r>
        <w:rPr>
          <w:rFonts w:ascii="Times New Roman;Times;serif" w:hAnsi="Times New Roman;Times;serif"/>
          <w:color w:val="000000"/>
          <w:sz w:val="20"/>
        </w:rPr>
        <w:t>” means any additional senior secured convertible notes issued from time to time pursuant to the Prior SPA in one or more additional closings.</w:t>
      </w:r>
    </w:p>
    <w:p>
      <w:pPr>
        <w:pStyle w:val="TextBody"/>
        <w:bidi w:val="0"/>
        <w:spacing w:lineRule="auto" w:line="300"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lineRule="auto" w:line="300" w:before="0" w:after="0"/>
        <w:ind w:left="720" w:right="0" w:firstLine="720"/>
        <w:jc w:val="both"/>
        <w:rPr>
          <w:color w:val="000000"/>
        </w:rPr>
      </w:pPr>
      <w:r>
        <w:rPr>
          <w:color w:val="000000"/>
        </w:rPr>
        <w:t>“</w:t>
      </w:r>
      <w:r>
        <w:rPr>
          <w:rFonts w:ascii="Times New Roman;Times;serif" w:hAnsi="Times New Roman;Times;serif"/>
          <w:color w:val="000000"/>
          <w:sz w:val="20"/>
          <w:u w:val="single"/>
        </w:rPr>
        <w:t>Bankruptcy Event</w:t>
      </w:r>
      <w:r>
        <w:rPr>
          <w:rFonts w:ascii="Times New Roman;Times;serif" w:hAnsi="Times New Roman;Times;serif"/>
          <w:color w:val="000000"/>
          <w:sz w:val="20"/>
        </w:rPr>
        <w:t>” means any of the following events: (a) the Company or any Subsidiary thereof commences a case or other proceeding under any bankruptcy, reorganization, winding-up, arrangement, adjustment of debt, relief of debtors, dissolution, insolvency, or liquidation or similar law of any jurisdiction relating to the Company or any Subsidiary thereof, (b) there is commenced against the Company or any Subsidiary thereof any such case or proceeding that is not dismissed within 60 days after commencement, (c) the Company or any Subsidiary thereof is adjudicated insolvent or bankrupt or any order of relief or other order approving as properly filed a petition seeking the insolvency, bankruptcy, reorganization, winding-up, arrangement, adjustment of debt, relief of debtors, dissolution, liquidation or any similar proceeding is entered, (d) the Company or any Subsidiary thereof suffers any appointment of any custodian, receiver, liquidator or the like for it or any substantial part of its property that is not discharged or stayed within 60 calendar days after such appointment, (e) the Company or any Subsidiary thereof makes a general assignment for the benefit of creditors, (f) the Company or any Subsidiary thereof calls a meeting of its creditors with a view to arranging a composition, adjustment or restructuring of its debts, (g) the Company or any Subsidiary thereof admits in writing that it is generally unable to pay its debts as they become due, or (h) the Company or any Subsidiary thereof, by any act or failure to act, expressly indicates its consent to, approval of or acquiescence in any of the foregoing or takes any corporate or other action for the purpose of effecting any of the foregoing.</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color w:val="000000"/>
        </w:rPr>
      </w:pPr>
      <w:r>
        <w:rPr>
          <w:color w:val="000000"/>
        </w:rPr>
        <w:t>“</w:t>
      </w:r>
      <w:r>
        <w:rPr>
          <w:rFonts w:ascii="Times New Roman;Times;serif" w:hAnsi="Times New Roman;Times;serif"/>
          <w:color w:val="000000"/>
          <w:sz w:val="20"/>
          <w:u w:val="single"/>
        </w:rPr>
        <w:t>Beneficial Ownership Limitation</w:t>
      </w:r>
      <w:r>
        <w:rPr>
          <w:rFonts w:ascii="Times New Roman;Times;serif" w:hAnsi="Times New Roman;Times;serif"/>
          <w:color w:val="000000"/>
          <w:sz w:val="20"/>
        </w:rPr>
        <w:t>” shall have the meaning set forth in Section 4(d).</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color w:val="000000"/>
        </w:rPr>
      </w:pPr>
      <w:r>
        <w:rPr>
          <w:color w:val="000000"/>
        </w:rPr>
        <w:t>“</w:t>
      </w:r>
      <w:r>
        <w:rPr>
          <w:rFonts w:ascii="Times New Roman;Times;serif" w:hAnsi="Times New Roman;Times;serif"/>
          <w:color w:val="000000"/>
          <w:sz w:val="20"/>
          <w:u w:val="single"/>
        </w:rPr>
        <w:t>Business Day</w:t>
      </w:r>
      <w:r>
        <w:rPr>
          <w:rFonts w:ascii="Times New Roman;Times;serif" w:hAnsi="Times New Roman;Times;serif"/>
          <w:color w:val="000000"/>
          <w:sz w:val="20"/>
        </w:rPr>
        <w:t xml:space="preserve">” means any day other than Saturday, Sunday or other day on which commercial banks in the City of New York are authorized or required by law to remain closed;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however</w:t>
      </w:r>
      <w:r>
        <w:rPr>
          <w:rFonts w:ascii="Times New Roman;Times;serif" w:hAnsi="Times New Roman;Times;serif"/>
          <w:color w:val="000000"/>
          <w:sz w:val="20"/>
        </w:rPr>
        <w:t>, for clarification, commercial banks shall not be deemed to be authorized or required by law to remain closed due to “stay at home”, “shelter-in-place”, “non-essential employee”  or any other similar orders or restrictions or the closure of any physical branch locations at the direction of any governmental authority so long as the electronic funds transfer systems (including for wire transfers) of commercial banks in the City of New York are generally open for use by customers on such day.</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color w:val="000000"/>
        </w:rPr>
      </w:pPr>
      <w:r>
        <w:rPr>
          <w:color w:val="000000"/>
        </w:rPr>
        <w:t>“</w:t>
      </w:r>
      <w:r>
        <w:rPr>
          <w:rFonts w:ascii="Times New Roman;Times;serif" w:hAnsi="Times New Roman;Times;serif"/>
          <w:color w:val="000000"/>
          <w:sz w:val="20"/>
          <w:u w:val="single"/>
        </w:rPr>
        <w:t>Change of Control Transaction</w:t>
      </w:r>
      <w:r>
        <w:rPr>
          <w:rFonts w:ascii="Times New Roman;Times;serif" w:hAnsi="Times New Roman;Times;serif"/>
          <w:color w:val="000000"/>
          <w:sz w:val="20"/>
        </w:rPr>
        <w:t>” means the occurrence after the date hereof of any of (a) an acquisition after the date hereof by an individual or legal entity or “group” (as described in Rule 13d-5(b)(1) promulgated under the Exchange Act) of effective control (whether through legal or beneficial ownership of the share capital of the Company, by contract or otherwise) of in excess of 50% of the voting power of the Company (other than by means of conversion of Existing Notes or exercise of the Existing Warrants), (b) the Company merges into or consolidates with any other Person, or any Person merges into or consolidates with the Company and, after giving effect to such transaction, the shareholders of the Company immediately prior to such transaction own less than 50% of the aggregate voting power of the Company or the successor entity of such transaction, (c) the Company (and all of its Subsidiaries, taken as a whole) sells or transfers all or substantially all of its assets to another Person, (d) a replacement at one time or within a one year period of more than one-half of the members of the Board of Directors which is not approved by a majority of those individuals who are members of the Board of Directors on the Original Issue Date (or by those individuals who are serving as members of the Board of Directors on any date whose nomination to the Board of Directors was approved by a majority of the members of the Board of Directors who are members on the date hereof), or (e) the execution by the Company of an agreement to which the Company is a party or by which it is bound, providing for any of the events set forth in clauses (a) through (d) above.</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w:t>
      </w:r>
    </w:p>
    <w:p>
      <w:pPr>
        <w:pStyle w:val="HorizontalLine"/>
        <w:pBdr>
          <w:bottom w:val="single" w:sz="12" w:space="0" w:color="808080"/>
        </w:pBdr>
        <w:bidi w:val="0"/>
        <w:spacing w:before="200" w:after="200"/>
        <w:jc w:val="left"/>
        <w:rPr/>
      </w:pPr>
      <w:r>
        <w:rPr/>
      </w:r>
    </w:p>
    <w:p>
      <w:pPr>
        <w:pStyle w:val="TextBody"/>
        <w:bidi w:val="0"/>
        <w:spacing w:lineRule="auto" w:line="300" w:before="0" w:after="0"/>
        <w:ind w:left="720" w:right="0" w:firstLine="720"/>
        <w:jc w:val="both"/>
        <w:rPr>
          <w:color w:val="000000"/>
        </w:rPr>
      </w:pPr>
      <w:r>
        <w:rPr>
          <w:color w:val="000000"/>
        </w:rPr>
        <w:t>“</w:t>
      </w:r>
      <w:r>
        <w:rPr>
          <w:rFonts w:ascii="Times New Roman;Times;serif" w:hAnsi="Times New Roman;Times;serif"/>
          <w:color w:val="000000"/>
          <w:sz w:val="20"/>
          <w:u w:val="single"/>
        </w:rPr>
        <w:t>Collateral</w:t>
      </w:r>
      <w:r>
        <w:rPr>
          <w:rFonts w:ascii="Times New Roman;Times;serif" w:hAnsi="Times New Roman;Times;serif"/>
          <w:color w:val="000000"/>
          <w:sz w:val="20"/>
        </w:rPr>
        <w:t>” shall have the meaning ascribed to such term in the Security Agreement.</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color w:val="000000"/>
        </w:rPr>
      </w:pPr>
      <w:r>
        <w:rPr>
          <w:color w:val="000000"/>
        </w:rPr>
        <w:t>“</w:t>
      </w:r>
      <w:r>
        <w:rPr>
          <w:rFonts w:ascii="Times New Roman;Times;serif" w:hAnsi="Times New Roman;Times;serif"/>
          <w:color w:val="000000"/>
          <w:sz w:val="20"/>
          <w:u w:val="single"/>
        </w:rPr>
        <w:t>Conversion Date</w:t>
      </w:r>
      <w:r>
        <w:rPr>
          <w:rFonts w:ascii="Times New Roman;Times;serif" w:hAnsi="Times New Roman;Times;serif"/>
          <w:color w:val="000000"/>
          <w:sz w:val="20"/>
        </w:rPr>
        <w:t>” shall have the meaning set forth in Section 4(a).</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color w:val="000000"/>
        </w:rPr>
      </w:pPr>
      <w:r>
        <w:rPr>
          <w:color w:val="000000"/>
        </w:rPr>
        <w:t>“</w:t>
      </w:r>
      <w:r>
        <w:rPr>
          <w:rFonts w:ascii="Times New Roman;Times;serif" w:hAnsi="Times New Roman;Times;serif"/>
          <w:color w:val="000000"/>
          <w:sz w:val="20"/>
          <w:u w:val="single"/>
        </w:rPr>
        <w:t>Conversion Price</w:t>
      </w:r>
      <w:r>
        <w:rPr>
          <w:rFonts w:ascii="Times New Roman;Times;serif" w:hAnsi="Times New Roman;Times;serif"/>
          <w:color w:val="000000"/>
          <w:sz w:val="20"/>
        </w:rPr>
        <w:t>” shall have the meaning set forth in Section 4(b).</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color w:val="000000"/>
        </w:rPr>
      </w:pPr>
      <w:r>
        <w:rPr>
          <w:color w:val="000000"/>
        </w:rPr>
        <w:t>“</w:t>
      </w:r>
      <w:r>
        <w:rPr>
          <w:rFonts w:ascii="Times New Roman;Times;serif" w:hAnsi="Times New Roman;Times;serif"/>
          <w:color w:val="000000"/>
          <w:sz w:val="20"/>
          <w:u w:val="single"/>
        </w:rPr>
        <w:t>Conversion Shares</w:t>
      </w:r>
      <w:r>
        <w:rPr>
          <w:rFonts w:ascii="Times New Roman;Times;serif" w:hAnsi="Times New Roman;Times;serif"/>
          <w:color w:val="000000"/>
          <w:sz w:val="20"/>
        </w:rPr>
        <w:t>” means, collectively, Ordinary Shares issuable upon conversion of this Note in accordance with the terms hereof.</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color w:val="000000"/>
        </w:rPr>
      </w:pPr>
      <w:r>
        <w:rPr>
          <w:color w:val="000000"/>
        </w:rPr>
        <w:t>“</w:t>
      </w:r>
      <w:r>
        <w:rPr>
          <w:rFonts w:ascii="Times New Roman;Times;serif" w:hAnsi="Times New Roman;Times;serif"/>
          <w:color w:val="000000"/>
          <w:sz w:val="20"/>
          <w:u w:val="single"/>
        </w:rPr>
        <w:t>Disqualified Stock</w:t>
      </w:r>
      <w:r>
        <w:rPr>
          <w:rFonts w:ascii="Times New Roman;Times;serif" w:hAnsi="Times New Roman;Times;serif"/>
          <w:color w:val="000000"/>
          <w:sz w:val="20"/>
        </w:rPr>
        <w:t>” means, with respect to any person, any equity interests of such person that, by its terms (or by the terms of any security or other equity interests into which it is convertible or exercisable or for which it is exchangeable) or upon the happening of any event or condition (a) matures or is mandatorily redeemable, pursuant to a sinking fund obligation or otherwise, (b) is redeemable at the option of the holder thereof, in whole or in part, (c) provides for the scheduled payments of dividends in cash, or (d) is or becomes convertible or exercisable into or exchangeable for Indebtedness or any other equity interests that would constitute Disqualified Stock.</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color w:val="000000"/>
        </w:rPr>
      </w:pPr>
      <w:r>
        <w:rPr>
          <w:color w:val="000000"/>
        </w:rPr>
        <w:t>“</w:t>
      </w:r>
      <w:r>
        <w:rPr>
          <w:rFonts w:ascii="Times New Roman;Times;serif" w:hAnsi="Times New Roman;Times;serif"/>
          <w:color w:val="000000"/>
          <w:sz w:val="20"/>
          <w:u w:val="single"/>
        </w:rPr>
        <w:t>Event of Default</w:t>
      </w:r>
      <w:r>
        <w:rPr>
          <w:rFonts w:ascii="Times New Roman;Times;serif" w:hAnsi="Times New Roman;Times;serif"/>
          <w:color w:val="000000"/>
          <w:sz w:val="20"/>
        </w:rPr>
        <w:t>” shall have the meaning set forth in Section 8(a).</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color w:val="000000"/>
        </w:rPr>
      </w:pPr>
      <w:r>
        <w:rPr>
          <w:color w:val="000000"/>
        </w:rPr>
        <w:t>“</w:t>
      </w:r>
      <w:r>
        <w:rPr>
          <w:rFonts w:ascii="Times New Roman;Times;serif" w:hAnsi="Times New Roman;Times;serif"/>
          <w:color w:val="000000"/>
          <w:sz w:val="20"/>
          <w:u w:val="single"/>
        </w:rPr>
        <w:t>Existing Initial Notes</w:t>
      </w:r>
      <w:r>
        <w:rPr>
          <w:rFonts w:ascii="Times New Roman;Times;serif" w:hAnsi="Times New Roman;Times;serif"/>
          <w:color w:val="000000"/>
          <w:sz w:val="20"/>
        </w:rPr>
        <w:t>” means those certain Senior Secured Convertible Notes, issued by the Company pursuant to that certain Securities Purchase Agreement, dated as of January 12, 2026, between the Company and the purchasers party thereto (“</w:t>
      </w:r>
      <w:r>
        <w:rPr>
          <w:rFonts w:ascii="Times New Roman;Times;serif" w:hAnsi="Times New Roman;Times;serif"/>
          <w:color w:val="000000"/>
          <w:sz w:val="20"/>
          <w:u w:val="single"/>
        </w:rPr>
        <w:t>Prior SPA</w:t>
      </w:r>
      <w:r>
        <w:rPr>
          <w:rFonts w:ascii="Times New Roman;Times;serif" w:hAnsi="Times New Roman;Times;serif"/>
          <w:color w:val="000000"/>
          <w:sz w:val="20"/>
        </w:rPr>
        <w:t>”).</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color w:val="000000"/>
        </w:rPr>
      </w:pPr>
      <w:r>
        <w:rPr>
          <w:color w:val="000000"/>
        </w:rPr>
        <w:t>“</w:t>
      </w:r>
      <w:r>
        <w:rPr>
          <w:rFonts w:ascii="Times New Roman;Times;serif" w:hAnsi="Times New Roman;Times;serif"/>
          <w:color w:val="000000"/>
          <w:sz w:val="20"/>
          <w:u w:val="single"/>
        </w:rPr>
        <w:t>Existing Notes</w:t>
      </w:r>
      <w:r>
        <w:rPr>
          <w:rFonts w:ascii="Times New Roman;Times;serif" w:hAnsi="Times New Roman;Times;serif"/>
          <w:color w:val="000000"/>
          <w:sz w:val="20"/>
        </w:rPr>
        <w:t>” means, collectively: (i) the Existing Initial Notes and (ii) any Additional Existing Notes.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color w:val="000000"/>
        </w:rPr>
      </w:pPr>
      <w:r>
        <w:rPr>
          <w:color w:val="000000"/>
        </w:rPr>
        <w:t>“</w:t>
      </w:r>
      <w:r>
        <w:rPr>
          <w:rFonts w:ascii="Times New Roman;Times;serif" w:hAnsi="Times New Roman;Times;serif"/>
          <w:color w:val="000000"/>
          <w:sz w:val="20"/>
          <w:u w:val="single"/>
        </w:rPr>
        <w:t>Existing Warrants</w:t>
      </w:r>
      <w:r>
        <w:rPr>
          <w:rFonts w:ascii="Times New Roman;Times;serif" w:hAnsi="Times New Roman;Times;serif"/>
          <w:color w:val="000000"/>
          <w:sz w:val="20"/>
        </w:rPr>
        <w:t>” means, collectively: (i) those certain common stock purchase warrants issued by the Company pursuant to the Prior SPA and (ii) any additional ordinary share purchase warrants issued from time to time pursuant to the Prior SPA in one or more additional closings.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color w:val="000000"/>
        </w:rPr>
      </w:pPr>
      <w:r>
        <w:rPr>
          <w:color w:val="000000"/>
        </w:rPr>
        <w:t>“</w:t>
      </w:r>
      <w:r>
        <w:rPr>
          <w:rFonts w:ascii="Times New Roman;Times;serif" w:hAnsi="Times New Roman;Times;serif"/>
          <w:color w:val="000000"/>
          <w:sz w:val="20"/>
          <w:u w:val="single"/>
        </w:rPr>
        <w:t>Indebtedness</w:t>
      </w:r>
      <w:r>
        <w:rPr>
          <w:rFonts w:ascii="Times New Roman;Times;serif" w:hAnsi="Times New Roman;Times;serif"/>
          <w:color w:val="000000"/>
          <w:sz w:val="20"/>
        </w:rPr>
        <w:t>” of a Person shall include (a) all obligations for borrowed money or the deferred purchase price of property or services (excluding trade accounts payable incurred in the ordinary course of business), (b) all obligations evidenced by bonds, debentures, notes, or other similar instruments and all reimbursement or other obligations in respect of letters of credit, surety bonds, bankers acceptances, current swap agreements, interest rate hedging agreements, interest rate swaps or other financial products, (c) all capital lease obligations (as determined in accordance with GAAP, subject, to the proviso set forth in the definition of GAAP under the Purchase Agreement), (d) all obligations or liabilities secured by a Lien on any asset of such Person, irrespective of whether such obligation or liability is assumed by such Person (limited to the lesser of (x) the outstanding principal amount of such obligations or liabilities and (y) the fair market value of such asset), (e) any obligation arising with respect to any other transaction that is the functional equivalent of borrowing but which does not constitute a liability on the balance sheets of such Person, (f) Disqualified Stock, and (g) any obligation guaranteeing or intended to guarantee (whether directly or indirectly guaranteed, endorsed, co-made, discounted or sold with recourse) any of the foregoing obligations of any other Person.</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3</w:t>
      </w:r>
    </w:p>
    <w:p>
      <w:pPr>
        <w:pStyle w:val="HorizontalLine"/>
        <w:pBdr>
          <w:bottom w:val="single" w:sz="12" w:space="0" w:color="808080"/>
        </w:pBdr>
        <w:bidi w:val="0"/>
        <w:spacing w:before="200" w:after="200"/>
        <w:jc w:val="left"/>
        <w:rPr/>
      </w:pPr>
      <w:r>
        <w:rPr/>
      </w:r>
    </w:p>
    <w:p>
      <w:pPr>
        <w:pStyle w:val="TextBody"/>
        <w:bidi w:val="0"/>
        <w:spacing w:lineRule="auto" w:line="300" w:before="0" w:after="0"/>
        <w:ind w:left="720" w:right="0" w:firstLine="720"/>
        <w:jc w:val="both"/>
        <w:rPr>
          <w:color w:val="000000"/>
        </w:rPr>
      </w:pPr>
      <w:r>
        <w:rPr>
          <w:color w:val="000000"/>
        </w:rPr>
        <w:t>“</w:t>
      </w:r>
      <w:r>
        <w:rPr>
          <w:rFonts w:ascii="Times New Roman;Times;serif" w:hAnsi="Times New Roman;Times;serif"/>
          <w:color w:val="000000"/>
          <w:sz w:val="20"/>
          <w:u w:val="single"/>
        </w:rPr>
        <w:t>Interest Accrual Date</w:t>
      </w:r>
      <w:r>
        <w:rPr>
          <w:rFonts w:ascii="Times New Roman;Times;serif" w:hAnsi="Times New Roman;Times;serif"/>
          <w:color w:val="000000"/>
          <w:sz w:val="20"/>
        </w:rPr>
        <w:t>” shall have the meaning set forth in Section 8(b).</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color w:val="000000"/>
        </w:rPr>
      </w:pPr>
      <w:r>
        <w:rPr>
          <w:color w:val="000000"/>
        </w:rPr>
        <w:t>“</w:t>
      </w:r>
      <w:r>
        <w:rPr>
          <w:rFonts w:ascii="Times New Roman;Times;serif" w:hAnsi="Times New Roman;Times;serif"/>
          <w:color w:val="000000"/>
          <w:sz w:val="20"/>
          <w:u w:val="single"/>
        </w:rPr>
        <w:t>Interest Payment Date</w:t>
      </w:r>
      <w:r>
        <w:rPr>
          <w:rFonts w:ascii="Times New Roman;Times;serif" w:hAnsi="Times New Roman;Times;serif"/>
          <w:color w:val="000000"/>
          <w:sz w:val="20"/>
        </w:rPr>
        <w:t>” shall have the meaning set forth in Section 2(a).</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color w:val="000000"/>
        </w:rPr>
      </w:pPr>
      <w:r>
        <w:rPr>
          <w:color w:val="000000"/>
        </w:rPr>
        <w:t>“</w:t>
      </w:r>
      <w:r>
        <w:rPr>
          <w:rFonts w:ascii="Times New Roman;Times;serif" w:hAnsi="Times New Roman;Times;serif"/>
          <w:color w:val="000000"/>
          <w:sz w:val="20"/>
          <w:u w:val="single"/>
        </w:rPr>
        <w:t>Investments</w:t>
      </w:r>
      <w:r>
        <w:rPr>
          <w:rFonts w:ascii="Times New Roman;Times;serif" w:hAnsi="Times New Roman;Times;serif"/>
          <w:color w:val="000000"/>
          <w:sz w:val="20"/>
        </w:rPr>
        <w:t>” means, as to any Person, any direct or indirect acquisition or investment by such Person by means of (a) the purchase or other acquisition (including by merger) of equity interests of another Person, (b) a loan, advance or capital contribution to, guarantee or assumption of debt of, or purchase or other acquisition of any other debt or interest in, another Person, or (c) the purchase or other acquisition (in one transaction or a series of transactions) of assets of another Person that constitute a business unit or all or a substantial part of the business of, such Person.</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color w:val="000000"/>
        </w:rPr>
      </w:pPr>
      <w:r>
        <w:rPr>
          <w:color w:val="000000"/>
        </w:rPr>
        <w:t>“</w:t>
      </w:r>
      <w:r>
        <w:rPr>
          <w:rFonts w:ascii="Times New Roman;Times;serif" w:hAnsi="Times New Roman;Times;serif"/>
          <w:color w:val="000000"/>
          <w:sz w:val="20"/>
          <w:u w:val="single"/>
        </w:rPr>
        <w:t>Late Fees</w:t>
      </w:r>
      <w:r>
        <w:rPr>
          <w:rFonts w:ascii="Times New Roman;Times;serif" w:hAnsi="Times New Roman;Times;serif"/>
          <w:color w:val="000000"/>
          <w:sz w:val="20"/>
        </w:rPr>
        <w:t>” shall have the meaning set forth in Section 2(c).</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color w:val="000000"/>
        </w:rPr>
      </w:pPr>
      <w:r>
        <w:rPr>
          <w:color w:val="000000"/>
        </w:rPr>
        <w:t>“</w:t>
      </w:r>
      <w:r>
        <w:rPr>
          <w:rFonts w:ascii="Times New Roman;Times;serif" w:hAnsi="Times New Roman;Times;serif"/>
          <w:color w:val="000000"/>
          <w:sz w:val="20"/>
          <w:u w:val="single"/>
        </w:rPr>
        <w:t>New York Courts</w:t>
      </w:r>
      <w:r>
        <w:rPr>
          <w:rFonts w:ascii="Times New Roman;Times;serif" w:hAnsi="Times New Roman;Times;serif"/>
          <w:color w:val="000000"/>
          <w:sz w:val="20"/>
        </w:rPr>
        <w:t>” shall have the meaning set forth in Section 10(d).</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color w:val="000000"/>
        </w:rPr>
      </w:pPr>
      <w:r>
        <w:rPr>
          <w:color w:val="000000"/>
        </w:rPr>
        <w:t>“</w:t>
      </w:r>
      <w:r>
        <w:rPr>
          <w:rFonts w:ascii="Times New Roman;Times;serif" w:hAnsi="Times New Roman;Times;serif"/>
          <w:color w:val="000000"/>
          <w:sz w:val="20"/>
          <w:u w:val="single"/>
        </w:rPr>
        <w:t>Note Register</w:t>
      </w:r>
      <w:r>
        <w:rPr>
          <w:rFonts w:ascii="Times New Roman;Times;serif" w:hAnsi="Times New Roman;Times;serif"/>
          <w:color w:val="000000"/>
          <w:sz w:val="20"/>
        </w:rPr>
        <w:t>” shall have the meaning set forth in Section 2(b).</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color w:val="000000"/>
        </w:rPr>
      </w:pPr>
      <w:r>
        <w:rPr>
          <w:color w:val="000000"/>
        </w:rPr>
        <w:t>“</w:t>
      </w:r>
      <w:r>
        <w:rPr>
          <w:rFonts w:ascii="Times New Roman;Times;serif" w:hAnsi="Times New Roman;Times;serif"/>
          <w:color w:val="000000"/>
          <w:sz w:val="20"/>
          <w:u w:val="single"/>
        </w:rPr>
        <w:t>Notice of Conversion</w:t>
      </w:r>
      <w:r>
        <w:rPr>
          <w:rFonts w:ascii="Times New Roman;Times;serif" w:hAnsi="Times New Roman;Times;serif"/>
          <w:color w:val="000000"/>
          <w:sz w:val="20"/>
        </w:rPr>
        <w:t>” shall have the meaning set forth in Section 4(a).</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color w:val="000000"/>
        </w:rPr>
      </w:pPr>
      <w:r>
        <w:rPr>
          <w:color w:val="000000"/>
        </w:rPr>
        <w:t>“</w:t>
      </w:r>
      <w:r>
        <w:rPr>
          <w:rFonts w:ascii="Times New Roman;Times;serif" w:hAnsi="Times New Roman;Times;serif"/>
          <w:color w:val="000000"/>
          <w:sz w:val="20"/>
          <w:u w:val="single"/>
        </w:rPr>
        <w:t>Original Issue Date</w:t>
      </w:r>
      <w:r>
        <w:rPr>
          <w:rFonts w:ascii="Times New Roman;Times;serif" w:hAnsi="Times New Roman;Times;serif"/>
          <w:color w:val="000000"/>
          <w:sz w:val="20"/>
        </w:rPr>
        <w:t>” means the date of the first issuance of the Notes, regardless of any transfers of any Note and regardless of the number of instruments which may be issued to evidence such Notes.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color w:val="000000"/>
        </w:rPr>
      </w:pPr>
      <w:r>
        <w:rPr>
          <w:color w:val="000000"/>
        </w:rPr>
        <w:t>“</w:t>
      </w:r>
      <w:r>
        <w:rPr>
          <w:rFonts w:ascii="Times New Roman;Times;serif" w:hAnsi="Times New Roman;Times;serif"/>
          <w:color w:val="000000"/>
          <w:sz w:val="20"/>
          <w:u w:val="single"/>
        </w:rPr>
        <w:t>Permitted Indebtedness</w:t>
      </w:r>
      <w:r>
        <w:rPr>
          <w:rFonts w:ascii="Times New Roman;Times;serif" w:hAnsi="Times New Roman;Times;serif"/>
          <w:color w:val="000000"/>
          <w:sz w:val="20"/>
        </w:rPr>
        <w:t xml:space="preserve">” means (a) the Indebtedness evidenced by the Notes, (b) the Indebtedness existing on the Original Issue Date and disclosed to the Holder prior to the date hereof (including any Indebtedness set forth in the SEC Reports), (c) capital lease obligations and purchase money indebtedness of up to $500,000, in the aggregate, incurred in connection with the acquisition of capital assets and lease obligations with respect to newly acquired or leased assets (subject, in each case, to the proviso set forth in the definition of GAAP under the Purchase Agreement), (d) other unsecured Indebtedness not exceeding $500,000 in aggregate principal amount outstanding, (e) Indebtedness that (1) is expressly subordinate to the Notes pursuant to a written subordination agreement with the Purchasers that is acceptable to each Purchaser in its reasonable discretion and (2) matures at a date on or after the Maturity Date, (f) other unsecured Indebtedness incurred in the ordinary course of business, (g) any Indebtedness in which the proceeds from such Indebtedness are used to repay the outstanding principal amount of this Note (plus, if applicable, the accrued and unpaid interest thereon and costs, fees and expenses incurred in connection therewith), (h) Indebtedness evidenced by the Existing Notes or any Additional Notes, (i) Indebtedness incurred in the ordinary course of business in connection with any equipment financing or working capital facilities, which is subordinate to the Indebtedness existing or arising under this Note and the other Transaction Documents pursuant to a subordination agreement acceptable to the Agent in its sole discretion, not to exceed $500,000,000 in the aggregate at any time, (j) Indebtedness incurred in the ordinary course of business in respect of netting services, overdraft protections, automatic clearinghouse arrangements, and other cash management and similar arrangements, (k) Indebtedness to carriers, warehousemen, mechanics, and materialmen, in each case arising in the ordinary course of business, for sums not yet due and payable or, if due and payable, those being contested in good faith by appropriate proceedings and for which appropriate reserves are maintained in accordance with GAAP, (l) guaranties by the Company or a Subsidiary of Permitted Indebtedness incurred by the Company or a Subsidiary;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any such guaranty shall be subordinated to the obligations under the Transaction Documents to the same extent and on the same terms and conditions as the Indebtedness guaranteed has been subordinated to the obligations under the Transaction Documents and (m) extensions, refinancings and renewals of any items of Permitted Indebtedness, </w:t>
      </w:r>
      <w:r>
        <w:rPr>
          <w:rFonts w:ascii="Times New Roman;Times;serif" w:hAnsi="Times New Roman;Times;serif"/>
          <w:color w:val="000000"/>
          <w:sz w:val="20"/>
          <w:u w:val="single"/>
        </w:rPr>
        <w:t>provided</w:t>
      </w:r>
      <w:r>
        <w:rPr>
          <w:rFonts w:ascii="Times New Roman;Times;serif" w:hAnsi="Times New Roman;Times;serif"/>
          <w:color w:val="000000"/>
          <w:sz w:val="20"/>
        </w:rPr>
        <w:t> </w:t>
      </w:r>
      <w:r>
        <w:rPr>
          <w:rFonts w:ascii="Times New Roman;Times;serif" w:hAnsi="Times New Roman;Times;serif"/>
          <w:color w:val="000000"/>
          <w:sz w:val="20"/>
          <w:u w:val="single"/>
        </w:rPr>
        <w:t>that</w:t>
      </w:r>
      <w:r>
        <w:rPr>
          <w:rFonts w:ascii="Times New Roman;Times;serif" w:hAnsi="Times New Roman;Times;serif"/>
          <w:color w:val="000000"/>
          <w:sz w:val="20"/>
        </w:rPr>
        <w:t xml:space="preserve"> the principal amount is not increased or the terms modified to impose more burdensome terms upon the Company or its Subsidiary, as the case may be, and subject to any applicable limitations on the aggregate amount of such Permitted Indebtedness.</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4</w:t>
      </w:r>
    </w:p>
    <w:p>
      <w:pPr>
        <w:pStyle w:val="HorizontalLine"/>
        <w:pBdr>
          <w:bottom w:val="single" w:sz="12" w:space="0" w:color="808080"/>
        </w:pBdr>
        <w:bidi w:val="0"/>
        <w:spacing w:before="200" w:after="200"/>
        <w:jc w:val="left"/>
        <w:rPr/>
      </w:pPr>
      <w:r>
        <w:rPr/>
      </w:r>
    </w:p>
    <w:p>
      <w:pPr>
        <w:pStyle w:val="TextBody"/>
        <w:bidi w:val="0"/>
        <w:spacing w:lineRule="auto" w:line="300" w:before="0" w:after="0"/>
        <w:ind w:left="720" w:right="0" w:firstLine="720"/>
        <w:jc w:val="both"/>
        <w:rPr>
          <w:color w:val="000000"/>
        </w:rPr>
      </w:pPr>
      <w:r>
        <w:rPr>
          <w:color w:val="000000"/>
        </w:rPr>
        <w:t>“</w:t>
      </w:r>
      <w:r>
        <w:rPr>
          <w:rFonts w:ascii="Times New Roman;Times;serif" w:hAnsi="Times New Roman;Times;serif"/>
          <w:color w:val="000000"/>
          <w:sz w:val="20"/>
          <w:u w:val="single"/>
        </w:rPr>
        <w:t>Permitted Lien</w:t>
      </w:r>
      <w:r>
        <w:rPr>
          <w:rFonts w:ascii="Times New Roman;Times;serif" w:hAnsi="Times New Roman;Times;serif"/>
          <w:color w:val="000000"/>
          <w:sz w:val="20"/>
        </w:rPr>
        <w:t xml:space="preserve">” means the individual and collective reference to the following: (a) Liens for taxes, assessments and other governmental charges or levies not yet due or Liens for taxes, assessments and other governmental charges or levies being contested in good faith and by appropriate proceedings for which adequate reserves (in the good faith judgment of the management of the Company) have been established in accordance with GAAP, (b) Liens imposed by law which were incurred in the ordinary course of the Company’s business, such as carriers’, warehousemen’s and mechanics’ Liens, statutory landlords’ Liens, and other similar Liens arising in the ordinary course of the Company’s business, and which (x) do not individually or in the aggregate materially detract from the value of such property or assets or materially impair the use thereof in the operation of the business of the Company and its consolidated Subsidiaries or (y) are being contested in good faith by appropriate proceedings, which proceedings have the effect of preventing for the foreseeable future the forfeiture or sale of the property or asset subject to such Lien, (c) Liens incurred in connection with Permitted Indebtedness under </w:t>
      </w:r>
      <w:r>
        <w:rPr>
          <w:rFonts w:ascii="Times New Roman;Times;serif" w:hAnsi="Times New Roman;Times;serif"/>
          <w:color w:val="000000"/>
          <w:sz w:val="20"/>
          <w:u w:val="single"/>
        </w:rPr>
        <w:t>clauses (a</w:t>
      </w:r>
      <w:r>
        <w:rPr>
          <w:rFonts w:ascii="Times New Roman;Times;serif" w:hAnsi="Times New Roman;Times;serif"/>
          <w:color w:val="000000"/>
          <w:sz w:val="20"/>
        </w:rPr>
        <w:t>), (</w:t>
      </w:r>
      <w:r>
        <w:rPr>
          <w:rFonts w:ascii="Times New Roman;Times;serif" w:hAnsi="Times New Roman;Times;serif"/>
          <w:color w:val="000000"/>
          <w:sz w:val="20"/>
          <w:u w:val="single"/>
        </w:rPr>
        <w:t>b</w:t>
      </w:r>
      <w:r>
        <w:rPr>
          <w:rFonts w:ascii="Times New Roman;Times;serif" w:hAnsi="Times New Roman;Times;serif"/>
          <w:color w:val="000000"/>
          <w:sz w:val="20"/>
        </w:rPr>
        <w:t>), (</w:t>
      </w:r>
      <w:r>
        <w:rPr>
          <w:rFonts w:ascii="Times New Roman;Times;serif" w:hAnsi="Times New Roman;Times;serif"/>
          <w:color w:val="000000"/>
          <w:sz w:val="20"/>
          <w:u w:val="single"/>
        </w:rPr>
        <w:t>d</w:t>
      </w:r>
      <w:r>
        <w:rPr>
          <w:rFonts w:ascii="Times New Roman;Times;serif" w:hAnsi="Times New Roman;Times;serif"/>
          <w:color w:val="000000"/>
          <w:sz w:val="20"/>
        </w:rPr>
        <w:t>), (</w:t>
      </w:r>
      <w:r>
        <w:rPr>
          <w:rFonts w:ascii="Times New Roman;Times;serif" w:hAnsi="Times New Roman;Times;serif"/>
          <w:color w:val="000000"/>
          <w:sz w:val="20"/>
          <w:u w:val="single"/>
        </w:rPr>
        <w:t>e</w:t>
      </w:r>
      <w:r>
        <w:rPr>
          <w:rFonts w:ascii="Times New Roman;Times;serif" w:hAnsi="Times New Roman;Times;serif"/>
          <w:color w:val="000000"/>
          <w:sz w:val="20"/>
        </w:rPr>
        <w:t>), (</w:t>
      </w:r>
      <w:r>
        <w:rPr>
          <w:rFonts w:ascii="Times New Roman;Times;serif" w:hAnsi="Times New Roman;Times;serif"/>
          <w:color w:val="000000"/>
          <w:sz w:val="20"/>
          <w:u w:val="single"/>
        </w:rPr>
        <w:t>g</w:t>
      </w:r>
      <w:r>
        <w:rPr>
          <w:rFonts w:ascii="Times New Roman;Times;serif" w:hAnsi="Times New Roman;Times;serif"/>
          <w:color w:val="000000"/>
          <w:sz w:val="20"/>
        </w:rPr>
        <w:t>), (</w:t>
      </w:r>
      <w:r>
        <w:rPr>
          <w:rFonts w:ascii="Times New Roman;Times;serif" w:hAnsi="Times New Roman;Times;serif"/>
          <w:color w:val="000000"/>
          <w:sz w:val="20"/>
          <w:u w:val="single"/>
        </w:rPr>
        <w:t>h</w:t>
      </w:r>
      <w:r>
        <w:rPr>
          <w:rFonts w:ascii="Times New Roman;Times;serif" w:hAnsi="Times New Roman;Times;serif"/>
          <w:color w:val="000000"/>
          <w:sz w:val="20"/>
        </w:rPr>
        <w:t>), (</w:t>
      </w:r>
      <w:r>
        <w:rPr>
          <w:rFonts w:ascii="Times New Roman;Times;serif" w:hAnsi="Times New Roman;Times;serif"/>
          <w:color w:val="000000"/>
          <w:sz w:val="20"/>
          <w:u w:val="single"/>
        </w:rPr>
        <w:t>i</w:t>
      </w:r>
      <w:r>
        <w:rPr>
          <w:rFonts w:ascii="Times New Roman;Times;serif" w:hAnsi="Times New Roman;Times;serif"/>
          <w:color w:val="000000"/>
          <w:sz w:val="20"/>
        </w:rPr>
        <w:t>), (</w:t>
      </w:r>
      <w:r>
        <w:rPr>
          <w:rFonts w:ascii="Times New Roman;Times;serif" w:hAnsi="Times New Roman;Times;serif"/>
          <w:color w:val="000000"/>
          <w:sz w:val="20"/>
          <w:u w:val="single"/>
        </w:rPr>
        <w:t>j</w:t>
      </w:r>
      <w:r>
        <w:rPr>
          <w:rFonts w:ascii="Times New Roman;Times;serif" w:hAnsi="Times New Roman;Times;serif"/>
          <w:color w:val="000000"/>
          <w:sz w:val="20"/>
        </w:rPr>
        <w:t>), (</w:t>
      </w:r>
      <w:r>
        <w:rPr>
          <w:rFonts w:ascii="Times New Roman;Times;serif" w:hAnsi="Times New Roman;Times;serif"/>
          <w:color w:val="000000"/>
          <w:sz w:val="20"/>
          <w:u w:val="single"/>
        </w:rPr>
        <w:t>k</w:t>
      </w:r>
      <w:r>
        <w:rPr>
          <w:rFonts w:ascii="Times New Roman;Times;serif" w:hAnsi="Times New Roman;Times;serif"/>
          <w:color w:val="000000"/>
          <w:sz w:val="20"/>
        </w:rPr>
        <w:t>), (</w:t>
      </w:r>
      <w:r>
        <w:rPr>
          <w:rFonts w:ascii="Times New Roman;Times;serif" w:hAnsi="Times New Roman;Times;serif"/>
          <w:color w:val="000000"/>
          <w:sz w:val="20"/>
          <w:u w:val="single"/>
        </w:rPr>
        <w:t>l</w:t>
      </w:r>
      <w:r>
        <w:rPr>
          <w:rFonts w:ascii="Times New Roman;Times;serif" w:hAnsi="Times New Roman;Times;serif"/>
          <w:color w:val="000000"/>
          <w:sz w:val="20"/>
        </w:rPr>
        <w:t>) and (</w:t>
      </w:r>
      <w:r>
        <w:rPr>
          <w:rFonts w:ascii="Times New Roman;Times;serif" w:hAnsi="Times New Roman;Times;serif"/>
          <w:color w:val="000000"/>
          <w:sz w:val="20"/>
          <w:u w:val="single"/>
        </w:rPr>
        <w:t>m</w:t>
      </w:r>
      <w:r>
        <w:rPr>
          <w:rFonts w:ascii="Times New Roman;Times;serif" w:hAnsi="Times New Roman;Times;serif"/>
          <w:color w:val="000000"/>
          <w:sz w:val="20"/>
        </w:rPr>
        <w:t xml:space="preserve">) thereunder, (d) Liens incurred in connection with Permitted Indebtedness under </w:t>
      </w:r>
      <w:r>
        <w:rPr>
          <w:rFonts w:ascii="Times New Roman;Times;serif" w:hAnsi="Times New Roman;Times;serif"/>
          <w:color w:val="000000"/>
          <w:sz w:val="20"/>
          <w:u w:val="single"/>
        </w:rPr>
        <w:t>clause (c</w:t>
      </w:r>
      <w:r>
        <w:rPr>
          <w:rFonts w:ascii="Times New Roman;Times;serif" w:hAnsi="Times New Roman;Times;serif"/>
          <w:color w:val="000000"/>
          <w:sz w:val="20"/>
        </w:rPr>
        <w:t xml:space="preserve">) thereunder, </w:t>
      </w:r>
      <w:r>
        <w:rPr>
          <w:rFonts w:ascii="Times New Roman;Times;serif" w:hAnsi="Times New Roman;Times;serif"/>
          <w:color w:val="000000"/>
          <w:sz w:val="20"/>
          <w:u w:val="single"/>
        </w:rPr>
        <w:t>provided</w:t>
      </w:r>
      <w:r>
        <w:rPr>
          <w:rFonts w:ascii="Times New Roman;Times;serif" w:hAnsi="Times New Roman;Times;serif"/>
          <w:color w:val="000000"/>
          <w:sz w:val="20"/>
        </w:rPr>
        <w:t> </w:t>
      </w:r>
      <w:r>
        <w:rPr>
          <w:rFonts w:ascii="Times New Roman;Times;serif" w:hAnsi="Times New Roman;Times;serif"/>
          <w:color w:val="000000"/>
          <w:sz w:val="20"/>
          <w:u w:val="single"/>
        </w:rPr>
        <w:t>that</w:t>
      </w:r>
      <w:r>
        <w:rPr>
          <w:rFonts w:ascii="Times New Roman;Times;serif" w:hAnsi="Times New Roman;Times;serif"/>
          <w:color w:val="000000"/>
          <w:sz w:val="20"/>
        </w:rPr>
        <w:t xml:space="preserve"> such Liens are not secured by assets of the Company or its Subsidiaries other than the assets so acquired or leased, (e) easements, rights of way, restrictions, minor defects or irregularities in title and other similar Liens, in each case, not interfering in any material respect with the ordinary conduct of the Company’s business, (f) Liens existing on the date hereof and disclosed to the Holder prior to the date hereof (including any Liens set forth in the SEC Reports), (g) Liens arising from judgments, decrees or attachments in circumstances which do not constitute an Event of Default; (h) Liens on deposits under worker’s compensation, unemployment insurance, social security and other similar laws, (i) Liens arising from the filing of any precautionary financing statement on operating leases covering the leased property, to the extent such operating leases are not prohibited under this Note and (j) Liens incurred in connection with the extension, renewal or refinancing of the Indebtedness secured by Liens of the type described in </w:t>
      </w:r>
      <w:r>
        <w:rPr>
          <w:rFonts w:ascii="Times New Roman;Times;serif" w:hAnsi="Times New Roman;Times;serif"/>
          <w:color w:val="000000"/>
          <w:sz w:val="20"/>
          <w:u w:val="single"/>
        </w:rPr>
        <w:t>clause (m</w:t>
      </w:r>
      <w:r>
        <w:rPr>
          <w:rFonts w:ascii="Times New Roman;Times;serif" w:hAnsi="Times New Roman;Times;serif"/>
          <w:color w:val="000000"/>
          <w:sz w:val="20"/>
        </w:rPr>
        <w:t xml:space="preserve">) above, </w:t>
      </w:r>
      <w:r>
        <w:rPr>
          <w:rFonts w:ascii="Times New Roman;Times;serif" w:hAnsi="Times New Roman;Times;serif"/>
          <w:color w:val="000000"/>
          <w:sz w:val="20"/>
          <w:u w:val="single"/>
        </w:rPr>
        <w:t>provided</w:t>
      </w:r>
      <w:r>
        <w:rPr>
          <w:rFonts w:ascii="Times New Roman;Times;serif" w:hAnsi="Times New Roman;Times;serif"/>
          <w:color w:val="000000"/>
          <w:sz w:val="20"/>
        </w:rPr>
        <w:t> </w:t>
      </w:r>
      <w:r>
        <w:rPr>
          <w:rFonts w:ascii="Times New Roman;Times;serif" w:hAnsi="Times New Roman;Times;serif"/>
          <w:color w:val="000000"/>
          <w:sz w:val="20"/>
          <w:u w:val="single"/>
        </w:rPr>
        <w:t>that</w:t>
      </w:r>
      <w:r>
        <w:rPr>
          <w:rFonts w:ascii="Times New Roman;Times;serif" w:hAnsi="Times New Roman;Times;serif"/>
          <w:color w:val="000000"/>
          <w:sz w:val="20"/>
        </w:rPr>
        <w:t xml:space="preserve"> any extension, renewal or replacement Lien shall be limited to the property encumbered by the existing Lien and the principal amount of the indebtedness being extended, renewed or refinanced does not increase.</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color w:val="000000"/>
        </w:rPr>
      </w:pPr>
      <w:r>
        <w:rPr>
          <w:color w:val="000000"/>
        </w:rPr>
        <w:t>“</w:t>
      </w:r>
      <w:r>
        <w:rPr>
          <w:rFonts w:ascii="Times New Roman;Times;serif" w:hAnsi="Times New Roman;Times;serif"/>
          <w:color w:val="000000"/>
          <w:sz w:val="20"/>
          <w:u w:val="single"/>
        </w:rPr>
        <w:t>Purchase Agreement</w:t>
      </w:r>
      <w:r>
        <w:rPr>
          <w:rFonts w:ascii="Times New Roman;Times;serif" w:hAnsi="Times New Roman;Times;serif"/>
          <w:color w:val="000000"/>
          <w:sz w:val="20"/>
        </w:rPr>
        <w:t>” means the Securities Purchase Agreement, dated as of June 30, 2026, among the Company and the original Holders, as amended, modified or supplemented from time to time in accordance with its terms.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color w:val="000000"/>
        </w:rPr>
      </w:pPr>
      <w:r>
        <w:rPr>
          <w:color w:val="000000"/>
        </w:rPr>
        <w:t>“</w:t>
      </w:r>
      <w:r>
        <w:rPr>
          <w:rFonts w:ascii="Times New Roman;Times;serif" w:hAnsi="Times New Roman;Times;serif"/>
          <w:color w:val="000000"/>
          <w:sz w:val="20"/>
          <w:u w:val="single"/>
        </w:rPr>
        <w:t>Share Delivery Date</w:t>
      </w:r>
      <w:r>
        <w:rPr>
          <w:rFonts w:ascii="Times New Roman;Times;serif" w:hAnsi="Times New Roman;Times;serif"/>
          <w:color w:val="000000"/>
          <w:sz w:val="20"/>
        </w:rPr>
        <w:t>” shall have the meaning set forth in Section 4(c)(ii).</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color w:val="000000"/>
        </w:rPr>
      </w:pPr>
      <w:r>
        <w:rPr>
          <w:color w:val="000000"/>
        </w:rPr>
        <w:t>“</w:t>
      </w:r>
      <w:r>
        <w:rPr>
          <w:rFonts w:ascii="Times New Roman;Times;serif" w:hAnsi="Times New Roman;Times;serif"/>
          <w:color w:val="000000"/>
          <w:sz w:val="20"/>
          <w:u w:val="single"/>
        </w:rPr>
        <w:t>Securities Act</w:t>
      </w:r>
      <w:r>
        <w:rPr>
          <w:rFonts w:ascii="Times New Roman;Times;serif" w:hAnsi="Times New Roman;Times;serif"/>
          <w:color w:val="000000"/>
          <w:sz w:val="20"/>
        </w:rPr>
        <w:t>” means the Securities Act of 1933, as amended, and the rules and regulations promulgated thereunder.</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color w:val="000000"/>
        </w:rPr>
      </w:pPr>
      <w:r>
        <w:rPr>
          <w:color w:val="000000"/>
        </w:rPr>
        <w:t>“</w:t>
      </w:r>
      <w:r>
        <w:rPr>
          <w:rFonts w:ascii="Times New Roman;Times;serif" w:hAnsi="Times New Roman;Times;serif"/>
          <w:color w:val="000000"/>
          <w:sz w:val="20"/>
          <w:u w:val="single"/>
        </w:rPr>
        <w:t>Trading Day</w:t>
      </w:r>
      <w:r>
        <w:rPr>
          <w:rFonts w:ascii="Times New Roman;Times;serif" w:hAnsi="Times New Roman;Times;serif"/>
          <w:color w:val="000000"/>
          <w:sz w:val="20"/>
        </w:rPr>
        <w:t>” means a day on which the principal Trading Market is open for trading.</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color w:val="000000"/>
        </w:rPr>
      </w:pPr>
      <w:r>
        <w:rPr>
          <w:color w:val="000000"/>
        </w:rPr>
        <w:t>“</w:t>
      </w:r>
      <w:r>
        <w:rPr>
          <w:rFonts w:ascii="Times New Roman;Times;serif" w:hAnsi="Times New Roman;Times;serif"/>
          <w:color w:val="000000"/>
          <w:sz w:val="20"/>
          <w:u w:val="single"/>
        </w:rPr>
        <w:t>Trading Market</w:t>
      </w:r>
      <w:r>
        <w:rPr>
          <w:rFonts w:ascii="Times New Roman;Times;serif" w:hAnsi="Times New Roman;Times;serif"/>
          <w:color w:val="000000"/>
          <w:sz w:val="20"/>
        </w:rPr>
        <w:t>” means any of the following markets or exchanges on which the Ordinary Shares are listed or quoted for trading on the date in question: the NYSE American, the Nasdaq Capital Market, the Nasdaq Global Market, the Nasdaq Global Select Market, or the New York Stock Exchange (or any successors to any of the foregoing).</w:t>
      </w:r>
    </w:p>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85" w:name="z07c735b140574edd8bf8b22baae02cd0"/>
      <w:bookmarkStart w:id="86" w:name="z07c735b140574edd8bf8b22baae02cd0"/>
      <w:bookmarkEnd w:id="86"/>
    </w:p>
    <w:tbl>
      <w:tblPr>
        <w:tblW w:w="1728" w:type="dxa"/>
        <w:jc w:val="left"/>
        <w:tblInd w:w="0" w:type="dxa"/>
        <w:tblLayout w:type="fixed"/>
        <w:tblCellMar>
          <w:top w:w="0" w:type="dxa"/>
          <w:left w:w="0" w:type="dxa"/>
          <w:bottom w:w="0" w:type="dxa"/>
          <w:right w:w="0" w:type="dxa"/>
        </w:tblCellMar>
      </w:tblPr>
      <w:tblGrid>
        <w:gridCol w:w="38"/>
        <w:gridCol w:w="830"/>
        <w:gridCol w:w="860"/>
      </w:tblGrid>
      <w:tr>
        <w:trPr/>
        <w:tc>
          <w:tcPr>
            <w:tcW w:w="38" w:type="dxa"/>
            <w:tcBorders/>
            <w:vAlign w:val="center"/>
          </w:tcPr>
          <w:p>
            <w:pPr>
              <w:pStyle w:val="TableContents"/>
              <w:bidi w:val="0"/>
              <w:spacing w:before="0" w:after="283"/>
              <w:jc w:val="left"/>
              <w:rPr/>
            </w:pPr>
            <w:r>
              <w:rPr/>
            </w:r>
          </w:p>
        </w:tc>
        <w:tc>
          <w:tcPr>
            <w:tcW w:w="830" w:type="dxa"/>
            <w:tcBorders/>
            <w:vAlign w:val="center"/>
          </w:tcPr>
          <w:p>
            <w:pPr>
              <w:pStyle w:val="TableContents"/>
              <w:bidi w:val="0"/>
              <w:spacing w:before="0" w:after="283"/>
              <w:jc w:val="left"/>
              <w:rPr>
                <w:rFonts w:ascii="Times New Roman;Times;serif" w:hAnsi="Times New Roman;Times;serif"/>
                <w:sz w:val="20"/>
                <w:u w:val="single"/>
              </w:rPr>
            </w:pPr>
            <w:r>
              <w:rPr>
                <w:rFonts w:ascii="Times New Roman;Times;serif" w:hAnsi="Times New Roman;Times;serif"/>
                <w:sz w:val="20"/>
                <w:u w:val="single"/>
              </w:rPr>
              <w:t>Section 2.</w:t>
            </w:r>
          </w:p>
        </w:tc>
        <w:tc>
          <w:tcPr>
            <w:tcW w:w="86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u w:val="single"/>
              </w:rPr>
              <w:t>Payments</w:t>
            </w:r>
            <w:r>
              <w:rPr>
                <w:rFonts w:ascii="Times New Roman;Times;serif" w:hAnsi="Times New Roman;Times;serif"/>
                <w:sz w:val="20"/>
              </w:rPr>
              <w:t>.</w:t>
            </w:r>
          </w:p>
        </w:tc>
      </w:tr>
    </w:tbl>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(a)          </w:t>
      </w:r>
      <w:r>
        <w:rPr>
          <w:rFonts w:ascii="Times New Roman;Times;serif" w:hAnsi="Times New Roman;Times;serif"/>
          <w:color w:val="000000"/>
          <w:sz w:val="20"/>
          <w:u w:val="single"/>
        </w:rPr>
        <w:t>Payment of Interest</w:t>
      </w:r>
      <w:r>
        <w:rPr>
          <w:rFonts w:ascii="Times New Roman;Times;serif" w:hAnsi="Times New Roman;Times;serif"/>
          <w:color w:val="000000"/>
          <w:sz w:val="20"/>
        </w:rPr>
        <w:t>. Subject to the provisions of Section 8(b) hereof, this Note shall initially bear interest at a rate of eight percent (8%) per annum. Except as otherwise set forth in this Note, any interest payable on this Note shall be shall be payable semi</w:t>
        <w:noBreakHyphen/>
        <w:t>annually in arrears on June 30 and December 31 of each year, commencing on  December 31, 2026 (each, an “</w:t>
      </w:r>
      <w:r>
        <w:rPr>
          <w:rFonts w:ascii="Times New Roman;Times;serif" w:hAnsi="Times New Roman;Times;serif"/>
          <w:color w:val="000000"/>
          <w:sz w:val="20"/>
          <w:u w:val="single"/>
        </w:rPr>
        <w:t>Interest Payment Date</w:t>
      </w:r>
      <w:r>
        <w:rPr>
          <w:rFonts w:ascii="Times New Roman;Times;serif" w:hAnsi="Times New Roman;Times;serif"/>
          <w:color w:val="000000"/>
          <w:sz w:val="20"/>
        </w:rPr>
        <w:t>”) (if an Interest Payment Date is not a Business Day, then the payment shall be due on the next succeeding Business Day), in cash (such amount due, the “</w:t>
      </w:r>
      <w:r>
        <w:rPr>
          <w:rFonts w:ascii="Times New Roman;Times;serif" w:hAnsi="Times New Roman;Times;serif"/>
          <w:color w:val="000000"/>
          <w:sz w:val="20"/>
          <w:u w:val="single"/>
        </w:rPr>
        <w:t>Interest Payment Amount</w:t>
      </w:r>
      <w:r>
        <w:rPr>
          <w:rFonts w:ascii="Times New Roman;Times;serif" w:hAnsi="Times New Roman;Times;serif"/>
          <w:color w:val="000000"/>
          <w:sz w:val="20"/>
        </w:rPr>
        <w:t>”). On each Interest Payment Date, the Company may, at its sole election, (i) pay the Interest Payment Amount in cash, or (ii) elect to have such Interest Payment Amount added to the outstanding principal balance of this Note, in which case, such Interest Payment Amount shall thereafter be deemed principal for all purposes hereunder.</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(b)          </w:t>
      </w:r>
      <w:r>
        <w:rPr>
          <w:rFonts w:ascii="Times New Roman;Times;serif" w:hAnsi="Times New Roman;Times;serif"/>
          <w:color w:val="000000"/>
          <w:sz w:val="20"/>
          <w:u w:val="single"/>
        </w:rPr>
        <w:t>Interest Calculations</w:t>
      </w:r>
      <w:r>
        <w:rPr>
          <w:rFonts w:ascii="Times New Roman;Times;serif" w:hAnsi="Times New Roman;Times;serif"/>
          <w:color w:val="000000"/>
          <w:sz w:val="20"/>
        </w:rPr>
        <w:t>. Interest shall be calculated on the basis of a 365 or 366 day year, as applicable, and the actual number of days elapsed, and shall accrue daily commencing on the Original Issue Date until payment in full of the outstanding principal, together with all accrued and unpaid interest, liquidated damages and other amounts which may become due hereunder, has been made.  Interest hereunder will be paid to the Person in whose name this Note is registered on the records of the Company regarding registration and transfers of this Note (the “</w:t>
      </w:r>
      <w:r>
        <w:rPr>
          <w:rFonts w:ascii="Times New Roman;Times;serif" w:hAnsi="Times New Roman;Times;serif"/>
          <w:color w:val="000000"/>
          <w:sz w:val="20"/>
          <w:u w:val="single"/>
        </w:rPr>
        <w:t>Note Register</w:t>
      </w:r>
      <w:r>
        <w:rPr>
          <w:rFonts w:ascii="Times New Roman;Times;serif" w:hAnsi="Times New Roman;Times;serif"/>
          <w:color w:val="000000"/>
          <w:sz w:val="20"/>
        </w:rPr>
        <w:t>”).</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5</w:t>
      </w:r>
    </w:p>
    <w:p>
      <w:pPr>
        <w:pStyle w:val="HorizontalLine"/>
        <w:pBdr>
          <w:bottom w:val="single" w:sz="12" w:space="0" w:color="808080"/>
        </w:pBdr>
        <w:bidi w:val="0"/>
        <w:spacing w:before="200" w:after="200"/>
        <w:jc w:val="left"/>
        <w:rPr/>
      </w:pPr>
      <w:r>
        <w:rPr/>
      </w:r>
    </w:p>
    <w:p>
      <w:pPr>
        <w:pStyle w:val="TextBody"/>
        <w:bidi w:val="0"/>
        <w:spacing w:lineRule="auto" w:line="300"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(c)          </w:t>
      </w:r>
      <w:r>
        <w:rPr>
          <w:rFonts w:ascii="Times New Roman;Times;serif" w:hAnsi="Times New Roman;Times;serif"/>
          <w:color w:val="000000"/>
          <w:sz w:val="20"/>
          <w:u w:val="single"/>
        </w:rPr>
        <w:t>Late Fee</w:t>
      </w:r>
      <w:r>
        <w:rPr>
          <w:rFonts w:ascii="Times New Roman;Times;serif" w:hAnsi="Times New Roman;Times;serif"/>
          <w:color w:val="000000"/>
          <w:sz w:val="20"/>
        </w:rPr>
        <w:t>.  All overdue accrued and unpaid interest to be paid hereunder shall entail a late fee at an interest rate equal to the lesser of 15% per annum or the maximum rate permitted by applicable law (the “</w:t>
      </w:r>
      <w:r>
        <w:rPr>
          <w:rFonts w:ascii="Times New Roman;Times;serif" w:hAnsi="Times New Roman;Times;serif"/>
          <w:color w:val="000000"/>
          <w:sz w:val="20"/>
          <w:u w:val="single"/>
        </w:rPr>
        <w:t>Late Fees</w:t>
      </w:r>
      <w:r>
        <w:rPr>
          <w:rFonts w:ascii="Times New Roman;Times;serif" w:hAnsi="Times New Roman;Times;serif"/>
          <w:color w:val="000000"/>
          <w:sz w:val="20"/>
        </w:rPr>
        <w:t>”) which shall accrue daily from the date such interest is due hereunder through and including the date of actual payment in full.</w:t>
      </w:r>
    </w:p>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87" w:name="z93d4f1be39ae4ec09653c850da125e87"/>
      <w:bookmarkStart w:id="88" w:name="z93d4f1be39ae4ec09653c850da125e87"/>
      <w:bookmarkEnd w:id="88"/>
    </w:p>
    <w:tbl>
      <w:tblPr>
        <w:tblW w:w="4218" w:type="dxa"/>
        <w:jc w:val="left"/>
        <w:tblInd w:w="0" w:type="dxa"/>
        <w:tblLayout w:type="fixed"/>
        <w:tblCellMar>
          <w:top w:w="0" w:type="dxa"/>
          <w:left w:w="0" w:type="dxa"/>
          <w:bottom w:w="0" w:type="dxa"/>
          <w:right w:w="0" w:type="dxa"/>
        </w:tblCellMar>
      </w:tblPr>
      <w:tblGrid>
        <w:gridCol w:w="38"/>
        <w:gridCol w:w="830"/>
        <w:gridCol w:w="3350"/>
      </w:tblGrid>
      <w:tr>
        <w:trPr/>
        <w:tc>
          <w:tcPr>
            <w:tcW w:w="38" w:type="dxa"/>
            <w:tcBorders/>
            <w:vAlign w:val="center"/>
          </w:tcPr>
          <w:p>
            <w:pPr>
              <w:pStyle w:val="TableContents"/>
              <w:bidi w:val="0"/>
              <w:spacing w:before="0" w:after="283"/>
              <w:jc w:val="left"/>
              <w:rPr/>
            </w:pPr>
            <w:r>
              <w:rPr/>
            </w:r>
          </w:p>
        </w:tc>
        <w:tc>
          <w:tcPr>
            <w:tcW w:w="830" w:type="dxa"/>
            <w:tcBorders/>
            <w:vAlign w:val="center"/>
          </w:tcPr>
          <w:p>
            <w:pPr>
              <w:pStyle w:val="TableContents"/>
              <w:bidi w:val="0"/>
              <w:spacing w:before="0" w:after="283"/>
              <w:jc w:val="left"/>
              <w:rPr>
                <w:rFonts w:ascii="Times New Roman;Times;serif" w:hAnsi="Times New Roman;Times;serif"/>
                <w:sz w:val="20"/>
                <w:u w:val="single"/>
              </w:rPr>
            </w:pPr>
            <w:r>
              <w:rPr>
                <w:rFonts w:ascii="Times New Roman;Times;serif" w:hAnsi="Times New Roman;Times;serif"/>
                <w:sz w:val="20"/>
                <w:u w:val="single"/>
              </w:rPr>
              <w:t>Section 3.</w:t>
            </w:r>
          </w:p>
        </w:tc>
        <w:tc>
          <w:tcPr>
            <w:tcW w:w="335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u w:val="single"/>
              </w:rPr>
              <w:t>Registration of Transfers and Exchanges</w:t>
            </w:r>
            <w:r>
              <w:rPr>
                <w:rFonts w:ascii="Times New Roman;Times;serif" w:hAnsi="Times New Roman;Times;serif"/>
                <w:sz w:val="20"/>
              </w:rPr>
              <w:t>.</w:t>
            </w:r>
          </w:p>
        </w:tc>
      </w:tr>
    </w:tbl>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810"/>
        <w:jc w:val="both"/>
        <w:rPr>
          <w:rFonts w:ascii="Times New Roman;Times;serif" w:hAnsi="Times New Roman;Times;serif"/>
          <w:color w:val="000000"/>
          <w:sz w:val="20"/>
        </w:rPr>
      </w:pPr>
      <w:r>
        <w:rPr>
          <w:rFonts w:ascii="Times New Roman;Times;serif" w:hAnsi="Times New Roman;Times;serif"/>
          <w:color w:val="000000"/>
          <w:sz w:val="20"/>
        </w:rPr>
        <w:t>(a)          </w:t>
      </w:r>
      <w:r>
        <w:rPr>
          <w:rFonts w:ascii="Times New Roman;Times;serif" w:hAnsi="Times New Roman;Times;serif"/>
          <w:color w:val="000000"/>
          <w:sz w:val="20"/>
          <w:u w:val="single"/>
        </w:rPr>
        <w:t>Different Denominations</w:t>
      </w:r>
      <w:r>
        <w:rPr>
          <w:rFonts w:ascii="Times New Roman;Times;serif" w:hAnsi="Times New Roman;Times;serif"/>
          <w:color w:val="000000"/>
          <w:sz w:val="20"/>
        </w:rPr>
        <w:t>. This Note is exchangeable for an equal aggregate principal amount of Notes of different authorized denominations, as requested by the Holder surrendering the same. No service charge will be payable for such registration of transfer or exchange.</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810"/>
        <w:jc w:val="both"/>
        <w:rPr>
          <w:rFonts w:ascii="Times New Roman;Times;serif" w:hAnsi="Times New Roman;Times;serif"/>
          <w:color w:val="000000"/>
          <w:sz w:val="20"/>
        </w:rPr>
      </w:pPr>
      <w:r>
        <w:rPr>
          <w:rFonts w:ascii="Times New Roman;Times;serif" w:hAnsi="Times New Roman;Times;serif"/>
          <w:color w:val="000000"/>
          <w:sz w:val="20"/>
        </w:rPr>
        <w:t>(b)          </w:t>
      </w:r>
      <w:r>
        <w:rPr>
          <w:rFonts w:ascii="Times New Roman;Times;serif" w:hAnsi="Times New Roman;Times;serif"/>
          <w:color w:val="000000"/>
          <w:sz w:val="20"/>
          <w:u w:val="single"/>
        </w:rPr>
        <w:t>Investment Representations</w:t>
      </w:r>
      <w:r>
        <w:rPr>
          <w:rFonts w:ascii="Times New Roman;Times;serif" w:hAnsi="Times New Roman;Times;serif"/>
          <w:color w:val="000000"/>
          <w:sz w:val="20"/>
        </w:rPr>
        <w:t>. This Note has been issued subject to certain investment representations of the original Holder set forth in the Purchase Agreement and may be transferred or exchanged only in compliance with the Purchase Agreement and applicable federal and state securities laws and regulations.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810"/>
        <w:jc w:val="both"/>
        <w:rPr>
          <w:rFonts w:ascii="Times New Roman;Times;serif" w:hAnsi="Times New Roman;Times;serif"/>
          <w:color w:val="000000"/>
          <w:sz w:val="20"/>
        </w:rPr>
      </w:pPr>
      <w:r>
        <w:rPr>
          <w:rFonts w:ascii="Times New Roman;Times;serif" w:hAnsi="Times New Roman;Times;serif"/>
          <w:color w:val="000000"/>
          <w:sz w:val="20"/>
        </w:rPr>
        <w:t>(c)          </w:t>
      </w:r>
      <w:r>
        <w:rPr>
          <w:rFonts w:ascii="Times New Roman;Times;serif" w:hAnsi="Times New Roman;Times;serif"/>
          <w:color w:val="000000"/>
          <w:sz w:val="20"/>
          <w:u w:val="single"/>
        </w:rPr>
        <w:t>Reliance on Note Register</w:t>
      </w:r>
      <w:r>
        <w:rPr>
          <w:rFonts w:ascii="Times New Roman;Times;serif" w:hAnsi="Times New Roman;Times;serif"/>
          <w:color w:val="000000"/>
          <w:sz w:val="20"/>
        </w:rPr>
        <w:t>. Prior to due presentment for transfer to the Company of this Note, the Company and any agent of the Company may treat the Person in whose name this Note is duly registered on the Note Register as the owner hereof for the purpose of receiving payment as herein provided and for all other purposes, whether or not this Note is overdue, and neither the Company nor any such agent shall be affected by notice to the contrary.</w:t>
      </w:r>
    </w:p>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89" w:name="z3b4cd6efe6ff4775ab47088c3fbb5fad"/>
      <w:bookmarkStart w:id="90" w:name="z3b4cd6efe6ff4775ab47088c3fbb5fad"/>
      <w:bookmarkEnd w:id="90"/>
    </w:p>
    <w:tbl>
      <w:tblPr>
        <w:tblW w:w="1893" w:type="dxa"/>
        <w:jc w:val="left"/>
        <w:tblInd w:w="0" w:type="dxa"/>
        <w:tblLayout w:type="fixed"/>
        <w:tblCellMar>
          <w:top w:w="0" w:type="dxa"/>
          <w:left w:w="0" w:type="dxa"/>
          <w:bottom w:w="0" w:type="dxa"/>
          <w:right w:w="0" w:type="dxa"/>
        </w:tblCellMar>
      </w:tblPr>
      <w:tblGrid>
        <w:gridCol w:w="38"/>
        <w:gridCol w:w="830"/>
        <w:gridCol w:w="1025"/>
      </w:tblGrid>
      <w:tr>
        <w:trPr/>
        <w:tc>
          <w:tcPr>
            <w:tcW w:w="38" w:type="dxa"/>
            <w:tcBorders/>
            <w:vAlign w:val="center"/>
          </w:tcPr>
          <w:p>
            <w:pPr>
              <w:pStyle w:val="TableContents"/>
              <w:bidi w:val="0"/>
              <w:spacing w:before="0" w:after="283"/>
              <w:jc w:val="left"/>
              <w:rPr/>
            </w:pPr>
            <w:r>
              <w:rPr/>
            </w:r>
          </w:p>
        </w:tc>
        <w:tc>
          <w:tcPr>
            <w:tcW w:w="830" w:type="dxa"/>
            <w:tcBorders/>
            <w:vAlign w:val="center"/>
          </w:tcPr>
          <w:p>
            <w:pPr>
              <w:pStyle w:val="TableContents"/>
              <w:bidi w:val="0"/>
              <w:spacing w:before="0" w:after="283"/>
              <w:jc w:val="left"/>
              <w:rPr>
                <w:rFonts w:ascii="Times New Roman;Times;serif" w:hAnsi="Times New Roman;Times;serif"/>
                <w:sz w:val="20"/>
                <w:u w:val="single"/>
              </w:rPr>
            </w:pPr>
            <w:r>
              <w:rPr>
                <w:rFonts w:ascii="Times New Roman;Times;serif" w:hAnsi="Times New Roman;Times;serif"/>
                <w:sz w:val="20"/>
                <w:u w:val="single"/>
              </w:rPr>
              <w:t>Section 4.</w:t>
            </w:r>
          </w:p>
        </w:tc>
        <w:tc>
          <w:tcPr>
            <w:tcW w:w="102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u w:val="single"/>
              </w:rPr>
              <w:t>Conversion</w:t>
            </w:r>
            <w:r>
              <w:rPr>
                <w:rFonts w:ascii="Times New Roman;Times;serif" w:hAnsi="Times New Roman;Times;serif"/>
                <w:sz w:val="20"/>
              </w:rPr>
              <w:t>.</w:t>
            </w:r>
          </w:p>
        </w:tc>
      </w:tr>
    </w:tbl>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810"/>
        <w:jc w:val="both"/>
        <w:rPr>
          <w:rFonts w:ascii="Times New Roman;Times;serif" w:hAnsi="Times New Roman;Times;serif"/>
          <w:color w:val="000000"/>
          <w:sz w:val="20"/>
        </w:rPr>
      </w:pPr>
      <w:r>
        <w:rPr>
          <w:rFonts w:ascii="Times New Roman;Times;serif" w:hAnsi="Times New Roman;Times;serif"/>
          <w:color w:val="000000"/>
          <w:sz w:val="20"/>
        </w:rPr>
        <w:t>(a)          </w:t>
      </w:r>
      <w:r>
        <w:rPr>
          <w:rFonts w:ascii="Times New Roman;Times;serif" w:hAnsi="Times New Roman;Times;serif"/>
          <w:color w:val="000000"/>
          <w:sz w:val="20"/>
          <w:u w:val="single"/>
        </w:rPr>
        <w:t>Voluntary Conversion</w:t>
      </w:r>
      <w:r>
        <w:rPr>
          <w:rFonts w:ascii="Times New Roman;Times;serif" w:hAnsi="Times New Roman;Times;serif"/>
          <w:color w:val="000000"/>
          <w:sz w:val="20"/>
        </w:rPr>
        <w:t xml:space="preserve">. At any time after the Original Issue Date until this Note is no longer outstanding, this Note, and at the sole option of the Holder, all accrued and unpaid interest thereon, shall be convertible, in whole or in part, into Ordinary Shares at the option of the Holder, at any time and from time to time (subject to the conversion limitations set forth in Section 4(d)). The Holder shall effect conversions by delivering to the Company a Notice of Conversion, the form of which is attached hereto as </w:t>
      </w:r>
      <w:r>
        <w:rPr>
          <w:rFonts w:ascii="Times New Roman;Times;serif" w:hAnsi="Times New Roman;Times;serif"/>
          <w:color w:val="000000"/>
          <w:sz w:val="20"/>
          <w:u w:val="single"/>
        </w:rPr>
        <w:t>Annex A</w:t>
      </w:r>
      <w:r>
        <w:rPr>
          <w:rFonts w:ascii="Times New Roman;Times;serif" w:hAnsi="Times New Roman;Times;serif"/>
          <w:color w:val="000000"/>
          <w:sz w:val="20"/>
        </w:rPr>
        <w:t xml:space="preserve"> (each, a “</w:t>
      </w:r>
      <w:r>
        <w:rPr>
          <w:rFonts w:ascii="Times New Roman;Times;serif" w:hAnsi="Times New Roman;Times;serif"/>
          <w:color w:val="000000"/>
          <w:sz w:val="20"/>
          <w:u w:val="single"/>
        </w:rPr>
        <w:t>Notice of Conversion</w:t>
      </w:r>
      <w:r>
        <w:rPr>
          <w:rFonts w:ascii="Times New Roman;Times;serif" w:hAnsi="Times New Roman;Times;serif"/>
          <w:color w:val="000000"/>
          <w:sz w:val="20"/>
        </w:rPr>
        <w:t xml:space="preserve">”), specifying therein the principal amount of this Note, </w:t>
      </w:r>
      <w:r>
        <w:rPr>
          <w:rFonts w:ascii="Times New Roman;Times;serif" w:hAnsi="Times New Roman;Times;serif"/>
          <w:i/>
          <w:color w:val="000000"/>
          <w:sz w:val="20"/>
        </w:rPr>
        <w:t>plus</w:t>
      </w:r>
      <w:r>
        <w:rPr>
          <w:rFonts w:ascii="Times New Roman;Times;serif" w:hAnsi="Times New Roman;Times;serif"/>
          <w:color w:val="000000"/>
          <w:sz w:val="20"/>
        </w:rPr>
        <w:t>, at the option of the Holder, any accrued and unpaid interest thereon to be converted, and the date on which such conversion shall be effected (such date, the “</w:t>
      </w:r>
      <w:r>
        <w:rPr>
          <w:rFonts w:ascii="Times New Roman;Times;serif" w:hAnsi="Times New Roman;Times;serif"/>
          <w:color w:val="000000"/>
          <w:sz w:val="20"/>
          <w:u w:val="single"/>
        </w:rPr>
        <w:t>Conversion Date</w:t>
      </w:r>
      <w:r>
        <w:rPr>
          <w:rFonts w:ascii="Times New Roman;Times;serif" w:hAnsi="Times New Roman;Times;serif"/>
          <w:color w:val="000000"/>
          <w:sz w:val="20"/>
        </w:rPr>
        <w:t xml:space="preserve">”). If no Conversion Date is specified in a Notice of Conversion, the Conversion Date shall be the date that such Notice of Conversion is deemed delivered hereunder. No ink-original Notice of Conversion shall be required, nor shall any medallion guarantee (or other type of guarantee or notarization) of any Notice of Conversion form be required. To effect conversions hereunder, the Holder shall not be required to physically surrender this Note to the Company unless the entire principal amount of this Note, </w:t>
      </w:r>
      <w:r>
        <w:rPr>
          <w:rFonts w:ascii="Times New Roman;Times;serif" w:hAnsi="Times New Roman;Times;serif"/>
          <w:i/>
          <w:color w:val="000000"/>
          <w:sz w:val="20"/>
        </w:rPr>
        <w:t>plus</w:t>
      </w:r>
      <w:r>
        <w:rPr>
          <w:rFonts w:ascii="Times New Roman;Times;serif" w:hAnsi="Times New Roman;Times;serif"/>
          <w:color w:val="000000"/>
          <w:sz w:val="20"/>
        </w:rPr>
        <w:t xml:space="preserve"> all accrued and unpaid interest thereon, has been so converted in which case the Holder shall surrender this Note as promptly as is reasonably practicable after such conversion without delaying the Company’s obligation to deliver the shares on the Share Delivery Date. Conversions hereunder shall have the effect of lowering the outstanding principal amount of this Note (</w:t>
      </w:r>
      <w:r>
        <w:rPr>
          <w:rFonts w:ascii="Times New Roman;Times;serif" w:hAnsi="Times New Roman;Times;serif"/>
          <w:i/>
          <w:color w:val="000000"/>
          <w:sz w:val="20"/>
        </w:rPr>
        <w:t>plus</w:t>
      </w:r>
      <w:r>
        <w:rPr>
          <w:rFonts w:ascii="Times New Roman;Times;serif" w:hAnsi="Times New Roman;Times;serif"/>
          <w:color w:val="000000"/>
          <w:sz w:val="20"/>
        </w:rPr>
        <w:t>, if applicable, any accrued and unpaid interest thereon) in an amount equal to the applicable conversion. The Holder and the Company shall maintain records showing the principal amount(s) (</w:t>
      </w:r>
      <w:r>
        <w:rPr>
          <w:rFonts w:ascii="Times New Roman;Times;serif" w:hAnsi="Times New Roman;Times;serif"/>
          <w:i/>
          <w:color w:val="000000"/>
          <w:sz w:val="20"/>
        </w:rPr>
        <w:t>plus</w:t>
      </w:r>
      <w:r>
        <w:rPr>
          <w:rFonts w:ascii="Times New Roman;Times;serif" w:hAnsi="Times New Roman;Times;serif"/>
          <w:color w:val="000000"/>
          <w:sz w:val="20"/>
        </w:rPr>
        <w:t xml:space="preserve">, if applicable, any accrued and unpaid interest thereon) converted and the date of such conversion(s). The Company may deliver an objection to any Notice of Conversion within one (1) Business Day of delivery of such Notice of Conversion. In the event of any dispute or discrepancy, the records of the Holder shall be controlling and determinative in the absence of manifest error. </w:t>
      </w:r>
      <w:r>
        <w:rPr>
          <w:rFonts w:ascii="Times New Roman;Times;serif" w:hAnsi="Times New Roman;Times;serif"/>
          <w:b/>
          <w:color w:val="000000"/>
          <w:sz w:val="20"/>
        </w:rPr>
        <w:t>The Holder</w:t>
      </w:r>
      <w:r>
        <w:rPr>
          <w:rFonts w:ascii="Times New Roman;Times;serif" w:hAnsi="Times New Roman;Times;serif"/>
          <w:color w:val="000000"/>
          <w:sz w:val="20"/>
        </w:rPr>
        <w:t xml:space="preserve">, </w:t>
      </w:r>
      <w:r>
        <w:rPr>
          <w:rFonts w:ascii="Times New Roman;Times;serif" w:hAnsi="Times New Roman;Times;serif"/>
          <w:b/>
          <w:color w:val="000000"/>
          <w:sz w:val="20"/>
        </w:rPr>
        <w:t>and any assignee by acceptance of this Note</w:t>
      </w:r>
      <w:r>
        <w:rPr>
          <w:rFonts w:ascii="Times New Roman;Times;serif" w:hAnsi="Times New Roman;Times;serif"/>
          <w:color w:val="000000"/>
          <w:sz w:val="20"/>
        </w:rPr>
        <w:t xml:space="preserve">, </w:t>
      </w:r>
      <w:r>
        <w:rPr>
          <w:rFonts w:ascii="Times New Roman;Times;serif" w:hAnsi="Times New Roman;Times;serif"/>
          <w:b/>
          <w:color w:val="000000"/>
          <w:sz w:val="20"/>
        </w:rPr>
        <w:t>acknowledge and agree that</w:t>
      </w:r>
      <w:r>
        <w:rPr>
          <w:rFonts w:ascii="Times New Roman;Times;serif" w:hAnsi="Times New Roman;Times;serif"/>
          <w:color w:val="000000"/>
          <w:sz w:val="20"/>
        </w:rPr>
        <w:t xml:space="preserve">, </w:t>
      </w:r>
      <w:r>
        <w:rPr>
          <w:rFonts w:ascii="Times New Roman;Times;serif" w:hAnsi="Times New Roman;Times;serif"/>
          <w:b/>
          <w:color w:val="000000"/>
          <w:sz w:val="20"/>
        </w:rPr>
        <w:t>by reason of the provisions of this paragraph</w:t>
      </w:r>
      <w:r>
        <w:rPr>
          <w:rFonts w:ascii="Times New Roman;Times;serif" w:hAnsi="Times New Roman;Times;serif"/>
          <w:color w:val="000000"/>
          <w:sz w:val="20"/>
        </w:rPr>
        <w:t xml:space="preserve">, </w:t>
      </w:r>
      <w:r>
        <w:rPr>
          <w:rFonts w:ascii="Times New Roman;Times;serif" w:hAnsi="Times New Roman;Times;serif"/>
          <w:b/>
          <w:color w:val="000000"/>
          <w:sz w:val="20"/>
        </w:rPr>
        <w:t>following conversion of a portion of this Note</w:t>
      </w:r>
      <w:r>
        <w:rPr>
          <w:rFonts w:ascii="Times New Roman;Times;serif" w:hAnsi="Times New Roman;Times;serif"/>
          <w:color w:val="000000"/>
          <w:sz w:val="20"/>
        </w:rPr>
        <w:t xml:space="preserve">, </w:t>
      </w:r>
      <w:r>
        <w:rPr>
          <w:rFonts w:ascii="Times New Roman;Times;serif" w:hAnsi="Times New Roman;Times;serif"/>
          <w:b/>
          <w:color w:val="000000"/>
          <w:sz w:val="20"/>
        </w:rPr>
        <w:t>the unpaid and unconverted principal amount of this Note may be less than the amount stated on the face hereof</w:t>
      </w:r>
      <w:r>
        <w:rPr>
          <w:rFonts w:ascii="Times New Roman;Times;serif" w:hAnsi="Times New Roman;Times;serif"/>
          <w:color w:val="000000"/>
          <w:sz w:val="20"/>
        </w:rPr>
        <w:t>.</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6</w:t>
      </w:r>
    </w:p>
    <w:p>
      <w:pPr>
        <w:pStyle w:val="HorizontalLine"/>
        <w:pBdr>
          <w:bottom w:val="single" w:sz="12" w:space="0" w:color="808080"/>
        </w:pBdr>
        <w:bidi w:val="0"/>
        <w:spacing w:before="200" w:after="200"/>
        <w:jc w:val="left"/>
        <w:rPr/>
      </w:pPr>
      <w:r>
        <w:rPr/>
      </w:r>
    </w:p>
    <w:p>
      <w:pPr>
        <w:pStyle w:val="TextBody"/>
        <w:bidi w:val="0"/>
        <w:spacing w:lineRule="auto" w:line="300" w:before="0" w:after="0"/>
        <w:ind w:left="720" w:right="0" w:firstLine="810"/>
        <w:jc w:val="both"/>
        <w:rPr>
          <w:rFonts w:ascii="Times New Roman;Times;serif" w:hAnsi="Times New Roman;Times;serif"/>
          <w:color w:val="000000"/>
          <w:sz w:val="20"/>
        </w:rPr>
      </w:pPr>
      <w:r>
        <w:rPr>
          <w:rFonts w:ascii="Times New Roman;Times;serif" w:hAnsi="Times New Roman;Times;serif"/>
          <w:color w:val="000000"/>
          <w:sz w:val="20"/>
        </w:rPr>
        <w:t>(b)          </w:t>
      </w:r>
      <w:r>
        <w:rPr>
          <w:rFonts w:ascii="Times New Roman;Times;serif" w:hAnsi="Times New Roman;Times;serif"/>
          <w:color w:val="000000"/>
          <w:sz w:val="20"/>
          <w:u w:val="single"/>
        </w:rPr>
        <w:t>Conversion Price</w:t>
      </w:r>
      <w:r>
        <w:rPr>
          <w:rFonts w:ascii="Times New Roman;Times;serif" w:hAnsi="Times New Roman;Times;serif"/>
          <w:color w:val="000000"/>
          <w:sz w:val="20"/>
        </w:rPr>
        <w:t>.  The conversion price in effect on any Conversion Date shall be equal to $5.40, subject to adjustment as provided herein (the “</w:t>
      </w:r>
      <w:r>
        <w:rPr>
          <w:rFonts w:ascii="Times New Roman;Times;serif" w:hAnsi="Times New Roman;Times;serif"/>
          <w:color w:val="000000"/>
          <w:sz w:val="20"/>
          <w:u w:val="single"/>
        </w:rPr>
        <w:t>Conversion Price</w:t>
      </w:r>
      <w:r>
        <w:rPr>
          <w:rFonts w:ascii="Times New Roman;Times;serif" w:hAnsi="Times New Roman;Times;serif"/>
          <w:color w:val="000000"/>
          <w:sz w:val="20"/>
        </w:rPr>
        <w:t>”).</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810"/>
        <w:jc w:val="both"/>
        <w:rPr>
          <w:rFonts w:ascii="Times New Roman;Times;serif" w:hAnsi="Times New Roman;Times;serif"/>
          <w:color w:val="000000"/>
          <w:sz w:val="20"/>
        </w:rPr>
      </w:pPr>
      <w:r>
        <w:rPr>
          <w:rFonts w:ascii="Times New Roman;Times;serif" w:hAnsi="Times New Roman;Times;serif"/>
          <w:color w:val="000000"/>
          <w:sz w:val="20"/>
        </w:rPr>
        <w:t>(c)          </w:t>
      </w:r>
      <w:r>
        <w:rPr>
          <w:rFonts w:ascii="Times New Roman;Times;serif" w:hAnsi="Times New Roman;Times;serif"/>
          <w:color w:val="000000"/>
          <w:sz w:val="20"/>
          <w:u w:val="single"/>
        </w:rPr>
        <w:t>Mechanics of Conversion</w:t>
      </w:r>
      <w:r>
        <w:rPr>
          <w:rFonts w:ascii="Times New Roman;Times;serif" w:hAnsi="Times New Roman;Times;serif"/>
          <w:color w:val="000000"/>
          <w:sz w:val="20"/>
        </w:rPr>
        <w:t>.</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1440" w:right="0" w:firstLine="720"/>
        <w:jc w:val="both"/>
        <w:rPr>
          <w:rFonts w:ascii="Times New Roman;Times;serif" w:hAnsi="Times New Roman;Times;serif"/>
          <w:color w:val="000000"/>
          <w:sz w:val="20"/>
        </w:rPr>
      </w:pPr>
      <w:r>
        <w:rPr>
          <w:rFonts w:ascii="Times New Roman;Times;serif" w:hAnsi="Times New Roman;Times;serif"/>
          <w:color w:val="000000"/>
          <w:sz w:val="20"/>
        </w:rPr>
        <w:t>(i)          </w:t>
      </w:r>
      <w:r>
        <w:rPr>
          <w:rFonts w:ascii="Times New Roman;Times;serif" w:hAnsi="Times New Roman;Times;serif"/>
          <w:color w:val="000000"/>
          <w:sz w:val="20"/>
          <w:u w:val="single"/>
        </w:rPr>
        <w:t>Conversion Shares Issuable Upon Conversion</w:t>
      </w:r>
      <w:r>
        <w:rPr>
          <w:rFonts w:ascii="Times New Roman;Times;serif" w:hAnsi="Times New Roman;Times;serif"/>
          <w:color w:val="000000"/>
          <w:sz w:val="20"/>
        </w:rPr>
        <w:t xml:space="preserve">. The number of Conversion Shares issuable upon a conversion hereunder shall be determined by the quotient obtained by dividing (x) the outstanding principal amount of this Note to be converted </w:t>
      </w:r>
      <w:r>
        <w:rPr>
          <w:rFonts w:ascii="Times New Roman;Times;serif" w:hAnsi="Times New Roman;Times;serif"/>
          <w:i/>
          <w:color w:val="000000"/>
          <w:sz w:val="20"/>
        </w:rPr>
        <w:t>plus</w:t>
      </w:r>
      <w:r>
        <w:rPr>
          <w:rFonts w:ascii="Times New Roman;Times;serif" w:hAnsi="Times New Roman;Times;serif"/>
          <w:color w:val="000000"/>
          <w:sz w:val="20"/>
        </w:rPr>
        <w:t>, at the option of the Holder, all accrued and unpaid interest thereon (the “</w:t>
      </w:r>
      <w:r>
        <w:rPr>
          <w:rFonts w:ascii="Times New Roman;Times;serif" w:hAnsi="Times New Roman;Times;serif"/>
          <w:color w:val="000000"/>
          <w:sz w:val="20"/>
          <w:u w:val="single"/>
        </w:rPr>
        <w:t>Conversion Amount</w:t>
      </w:r>
      <w:r>
        <w:rPr>
          <w:rFonts w:ascii="Times New Roman;Times;serif" w:hAnsi="Times New Roman;Times;serif"/>
          <w:color w:val="000000"/>
          <w:sz w:val="20"/>
        </w:rPr>
        <w:t>”) by (y) the Conversion Price.</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1440" w:right="0" w:firstLine="720"/>
        <w:jc w:val="both"/>
        <w:rPr>
          <w:rFonts w:ascii="Times New Roman;Times;serif" w:hAnsi="Times New Roman;Times;serif"/>
          <w:color w:val="000000"/>
          <w:sz w:val="20"/>
        </w:rPr>
      </w:pPr>
      <w:r>
        <w:rPr>
          <w:rFonts w:ascii="Times New Roman;Times;serif" w:hAnsi="Times New Roman;Times;serif"/>
          <w:color w:val="000000"/>
          <w:sz w:val="20"/>
        </w:rPr>
        <w:t>(ii)          </w:t>
      </w:r>
      <w:r>
        <w:rPr>
          <w:rFonts w:ascii="Times New Roman;Times;serif" w:hAnsi="Times New Roman;Times;serif"/>
          <w:color w:val="000000"/>
          <w:sz w:val="20"/>
          <w:u w:val="single"/>
        </w:rPr>
        <w:t>Delivery of Conversion Shares Upon Conversion</w:t>
      </w:r>
      <w:r>
        <w:rPr>
          <w:rFonts w:ascii="Times New Roman;Times;serif" w:hAnsi="Times New Roman;Times;serif"/>
          <w:color w:val="000000"/>
          <w:sz w:val="20"/>
        </w:rPr>
        <w:t>. Not later than the earlier of (i) one (1) Trading Day and (ii) the number of Trading Days comprising the Standard Settlement Period (as defined below) after each Conversion Date (the “</w:t>
      </w:r>
      <w:r>
        <w:rPr>
          <w:rFonts w:ascii="Times New Roman;Times;serif" w:hAnsi="Times New Roman;Times;serif"/>
          <w:color w:val="000000"/>
          <w:sz w:val="20"/>
          <w:u w:val="single"/>
        </w:rPr>
        <w:t>Share Delivery Date</w:t>
      </w:r>
      <w:r>
        <w:rPr>
          <w:rFonts w:ascii="Times New Roman;Times;serif" w:hAnsi="Times New Roman;Times;serif"/>
          <w:color w:val="000000"/>
          <w:sz w:val="20"/>
        </w:rPr>
        <w:t xml:space="preserve">”), the Company shall deliver, or cause to be delivered, to the Holder (A) a certificate or book entry statement representing the Conversion Shares to be acquired upon conversion of this Note, which, following the Legend Removal Date, shall be free of restrictive legends and trading restrictions (other than those which may then be required by the Purchase Agreement) and (B) </w:t>
      </w:r>
      <w:r>
        <w:rPr>
          <w:rFonts w:ascii="Times New Roman;Times;serif" w:hAnsi="Times New Roman;Times;serif"/>
          <w:i/>
          <w:color w:val="000000"/>
          <w:sz w:val="20"/>
        </w:rPr>
        <w:t>plus</w:t>
      </w:r>
      <w:r>
        <w:rPr>
          <w:rFonts w:ascii="Times New Roman;Times;serif" w:hAnsi="Times New Roman;Times;serif"/>
          <w:color w:val="000000"/>
          <w:sz w:val="20"/>
        </w:rPr>
        <w:t xml:space="preserve">, if the Holder has not elected to include accrued and unpaid interest in the Conversion Amount pursuant to Section 4(c)(i) above, a certified check (or wire transfer) in the amount of such accrued and unpaid interest. Except in the case of any certificate or book entry statement bearing a restrictive legend, all Conversion Shares required to be delivered by the Company under this </w:t>
      </w:r>
      <w:r>
        <w:rPr>
          <w:rFonts w:ascii="Times New Roman;Times;serif" w:hAnsi="Times New Roman;Times;serif"/>
          <w:color w:val="000000"/>
          <w:sz w:val="20"/>
          <w:u w:val="single"/>
        </w:rPr>
        <w:t>Section 4(c)</w:t>
      </w:r>
      <w:r>
        <w:rPr>
          <w:rFonts w:ascii="Times New Roman;Times;serif" w:hAnsi="Times New Roman;Times;serif"/>
          <w:color w:val="000000"/>
          <w:sz w:val="20"/>
        </w:rPr>
        <w:t xml:space="preserve"> shall be delivered electronically through the Depository Trust Company or another established clearing corporation performing similar functions. If the Conversion Date is prior to the Legend Removal Date, then the Conversion Shares shall bear a restrictive legend in the following form, as appropriate:</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hanging="0"/>
        <w:jc w:val="both"/>
        <w:rPr>
          <w:color w:val="000000"/>
        </w:rPr>
      </w:pPr>
      <w:r>
        <w:rPr>
          <w:color w:val="000000"/>
        </w:rPr>
        <w:t>“</w:t>
      </w:r>
      <w:r>
        <w:rPr>
          <w:rFonts w:ascii="Times New Roman;Times;serif" w:hAnsi="Times New Roman;Times;serif"/>
          <w:color w:val="000000"/>
          <w:sz w:val="20"/>
        </w:rPr>
        <w:t>THE ISSUANCE AND SALE OF THE SECURITIES REPRESENTED BY THIS CERTIFICATE HAS NOT BEEN REGISTERED UNDER THE SECURITIES ACT OF 1933, AS AMENDED, OR APPLICABLE STATE SECURITIES LAWS. THE SECURITIES MAY NOT BE OFFERED FOR SALE, SOLD, TRANSFERRED OR ASSIGNED (I) IN THE ABSENCE OF (A) AN EFFECTIVE REGISTRATION STATEMENT FOR THE SECURITIES UNDER THE SECURITIES ACT OF 1933, AS AMENDED, OR (B) AN OPINION OF COUNSEL (WHICH COUNSEL SHALL BE SELECTED BY THE HOLDER), IN A GENERALLY ACCEPTABLE FORM, THAT REGISTRATION IS NOT REQUIRED UNDER SAID ACT OR (II) UNLESS SOLD PURSUANT TO RULE 144 OR RULE 144A UNDER SAID ACT. NOTWITHSTANDING THE FOREGOING, THE SECURITIES MAY BE PLEDGED IN CONNECTION WITH A BONA FIDE MARGIN ACCOUNT OR OTHER LOAN OR FINANCING ARRANGEMENT SECURED BY THE SECURITIES.”</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7</w:t>
      </w:r>
    </w:p>
    <w:p>
      <w:pPr>
        <w:pStyle w:val="HorizontalLine"/>
        <w:pBdr>
          <w:bottom w:val="single" w:sz="12" w:space="0" w:color="808080"/>
        </w:pBdr>
        <w:bidi w:val="0"/>
        <w:spacing w:before="200" w:after="200"/>
        <w:jc w:val="left"/>
        <w:rPr/>
      </w:pPr>
      <w:r>
        <w:rPr/>
      </w:r>
    </w:p>
    <w:p>
      <w:pPr>
        <w:pStyle w:val="TextBody"/>
        <w:bidi w:val="0"/>
        <w:spacing w:lineRule="auto" w:line="300" w:before="0" w:after="0"/>
        <w:ind w:left="810" w:right="0" w:firstLine="630"/>
        <w:jc w:val="both"/>
        <w:rPr>
          <w:rFonts w:ascii="Times New Roman;Times;serif" w:hAnsi="Times New Roman;Times;serif"/>
          <w:color w:val="000000"/>
          <w:sz w:val="20"/>
        </w:rPr>
      </w:pPr>
      <w:r>
        <w:rPr>
          <w:rFonts w:ascii="Times New Roman;Times;serif" w:hAnsi="Times New Roman;Times;serif"/>
          <w:color w:val="000000"/>
          <w:sz w:val="20"/>
        </w:rPr>
        <w:t>As used herein, “</w:t>
      </w:r>
      <w:r>
        <w:rPr>
          <w:rFonts w:ascii="Times New Roman;Times;serif" w:hAnsi="Times New Roman;Times;serif"/>
          <w:color w:val="000000"/>
          <w:sz w:val="20"/>
          <w:u w:val="single"/>
        </w:rPr>
        <w:t>Standard Settlement Period</w:t>
      </w:r>
      <w:r>
        <w:rPr>
          <w:rFonts w:ascii="Times New Roman;Times;serif" w:hAnsi="Times New Roman;Times;serif"/>
          <w:color w:val="000000"/>
          <w:sz w:val="20"/>
        </w:rPr>
        <w:t>” means the standard settlement period, expressed in a number of Trading Days, on the Company’s primary Trading Market with respect to the Ordinary Shares as in effect on the date of delivery of the Notice of Conversion.</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1440" w:right="0" w:firstLine="720"/>
        <w:jc w:val="both"/>
        <w:rPr>
          <w:rFonts w:ascii="Times New Roman;Times;serif" w:hAnsi="Times New Roman;Times;serif"/>
          <w:color w:val="000000"/>
          <w:sz w:val="20"/>
        </w:rPr>
      </w:pPr>
      <w:r>
        <w:rPr>
          <w:rFonts w:ascii="Times New Roman;Times;serif" w:hAnsi="Times New Roman;Times;serif"/>
          <w:color w:val="000000"/>
          <w:sz w:val="20"/>
        </w:rPr>
        <w:t>(iii)          </w:t>
      </w:r>
      <w:r>
        <w:rPr>
          <w:rFonts w:ascii="Times New Roman;Times;serif" w:hAnsi="Times New Roman;Times;serif"/>
          <w:color w:val="000000"/>
          <w:sz w:val="20"/>
          <w:u w:val="single"/>
        </w:rPr>
        <w:t>Failure to Deliver Conversion Shares</w:t>
      </w:r>
      <w:r>
        <w:rPr>
          <w:rFonts w:ascii="Times New Roman;Times;serif" w:hAnsi="Times New Roman;Times;serif"/>
          <w:color w:val="000000"/>
          <w:sz w:val="20"/>
        </w:rPr>
        <w:t>.  If, in the case of any Notice of Conversion, such Conversion Shares are not delivered to or as directed by the applicable Holder by the Share Delivery Date, the Holder shall be entitled to elect by written notice to the Company at any time on or before its receipt of such Conversion Shares, to rescind such conversion, in which event the Company shall promptly return to the Holder any original Note delivered to the Company and the Holder shall promptly return to the Company the Conversion Shares issued to such Holder pursuant to the rescinded Conversion Notice.</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1440" w:right="0" w:firstLine="720"/>
        <w:jc w:val="both"/>
        <w:rPr>
          <w:rFonts w:ascii="Times New Roman;Times;serif" w:hAnsi="Times New Roman;Times;serif"/>
          <w:color w:val="000000"/>
          <w:sz w:val="20"/>
        </w:rPr>
      </w:pPr>
      <w:r>
        <w:rPr>
          <w:rFonts w:ascii="Times New Roman;Times;serif" w:hAnsi="Times New Roman;Times;serif"/>
          <w:color w:val="000000"/>
          <w:sz w:val="20"/>
        </w:rPr>
        <w:t>(iv)          </w:t>
      </w:r>
      <w:r>
        <w:rPr>
          <w:rFonts w:ascii="Times New Roman;Times;serif" w:hAnsi="Times New Roman;Times;serif"/>
          <w:color w:val="000000"/>
          <w:sz w:val="20"/>
          <w:u w:val="single"/>
        </w:rPr>
        <w:t>Obligation Absolute</w:t>
      </w:r>
      <w:r>
        <w:rPr>
          <w:rFonts w:ascii="Times New Roman;Times;serif" w:hAnsi="Times New Roman;Times;serif"/>
          <w:color w:val="000000"/>
          <w:sz w:val="20"/>
        </w:rPr>
        <w:t xml:space="preserve">.  The Company’s obligations to issue and deliver the Conversion Shares upon conversion of this Note in accordance with the terms hereof are absolute and unconditional, irrespective of any action or inaction by the Holder to enforce the same, any waiver or consent with respect to any provision hereof, the recovery of any judgment against any Person or any action to enforce the same, or any setoff, counterclaim, recoupment, limitation or termination, or any breach or alleged breach by the Holder or any other Person of any obligation to the Company or any violation or alleged violation of law by the Holder or any other Person, and irrespective of any other circumstance which might otherwise limit such obligation of the Company to the Holder in connection with the issuance of such Conversion Shares;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however</w:t>
      </w:r>
      <w:r>
        <w:rPr>
          <w:rFonts w:ascii="Times New Roman;Times;serif" w:hAnsi="Times New Roman;Times;serif"/>
          <w:color w:val="000000"/>
          <w:sz w:val="20"/>
        </w:rPr>
        <w:t>, that such delivery shall not operate as a waiver by the Company of any such action the Company may have against the Holder.  In the event the Holder of this Note shall elect to convert any or all of the outstanding principal amount hereof (</w:t>
      </w:r>
      <w:r>
        <w:rPr>
          <w:rFonts w:ascii="Times New Roman;Times;serif" w:hAnsi="Times New Roman;Times;serif"/>
          <w:i/>
          <w:color w:val="000000"/>
          <w:sz w:val="20"/>
        </w:rPr>
        <w:t>plus</w:t>
      </w:r>
      <w:r>
        <w:rPr>
          <w:rFonts w:ascii="Times New Roman;Times;serif" w:hAnsi="Times New Roman;Times;serif"/>
          <w:color w:val="000000"/>
          <w:sz w:val="20"/>
        </w:rPr>
        <w:t xml:space="preserve">, if applicable, any accrued and unpaid interest thereon), the Company may not refuse conversion based on any claim that the Holder or anyone associated or affiliated with the Holder has been engaged in any violation of law, agreement or for any other reason, unless an injunction from a court, on notice to Holder, restraining and or enjoining conversion of all or part of this Note shall have been sought and obtained, and the Company posts a surety bond for the benefit of the Holder in the amount of 150% of the outstanding principal amount of this Note, which is subject to the injunction, which bond shall remain in effect until the completion of arbitration/litigation of the underlying dispute and the proceeds of which shall be payable to the Holder to the extent it obtains judgment.  In the absence of such injunction, the Company shall issue Conversion Shares required to be delivered hereunder in accordance with the terms hereof or, if applicable, cash, upon a properly noticed conversion. If the Company fails for any reason to deliver to the Holder such certificate or book entry statement pursuant to Section 4(c)(ii) by the Share Delivery Date, the Company shall pay to the Holder, in cash, as liquidated damages and not as a penalty, for each $1,000 of principal amount being converted, $10 per Trading Day (increasing to $20 per Trading Day on the fifth (5th) Trading Day after such liquidated damages begin to accrue) for each Trading Day after such Share Delivery Date until such certificates are delivered or Holder rescinds such conversion. Nothing herein shall limit a Holder’s right to pursue actual damages or declare an Event of Default pursuant to </w:t>
      </w:r>
      <w:r>
        <w:rPr>
          <w:rFonts w:ascii="Times New Roman;Times;serif" w:hAnsi="Times New Roman;Times;serif"/>
          <w:color w:val="000000"/>
          <w:sz w:val="20"/>
          <w:u w:val="single"/>
        </w:rPr>
        <w:t>Section 8</w:t>
      </w:r>
      <w:r>
        <w:rPr>
          <w:rFonts w:ascii="Times New Roman;Times;serif" w:hAnsi="Times New Roman;Times;serif"/>
          <w:color w:val="000000"/>
          <w:sz w:val="20"/>
        </w:rPr>
        <w:t xml:space="preserve"> for the Company’s failure to deliver Conversion Shares within the period specified herein and the Holder shall have the right to pursue all remedies available to it hereunder, at law or in equity including, without limitation, a decree of specific performance and/or injunctive relief.  The exercise of any such rights shall not prohibit the Holder from seeking to enforce damages pursuant to any other Section hereof or under applicable law.</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8</w:t>
      </w:r>
    </w:p>
    <w:p>
      <w:pPr>
        <w:pStyle w:val="HorizontalLine"/>
        <w:pBdr>
          <w:bottom w:val="single" w:sz="12" w:space="0" w:color="808080"/>
        </w:pBdr>
        <w:bidi w:val="0"/>
        <w:spacing w:before="200" w:after="200"/>
        <w:jc w:val="left"/>
        <w:rPr/>
      </w:pPr>
      <w:r>
        <w:rPr/>
      </w:r>
    </w:p>
    <w:p>
      <w:pPr>
        <w:pStyle w:val="TextBody"/>
        <w:bidi w:val="0"/>
        <w:spacing w:lineRule="auto" w:line="300" w:before="0" w:after="0"/>
        <w:ind w:left="1440" w:right="0" w:firstLine="720"/>
        <w:jc w:val="both"/>
        <w:rPr>
          <w:rFonts w:ascii="Times New Roman;Times;serif" w:hAnsi="Times New Roman;Times;serif"/>
          <w:color w:val="000000"/>
          <w:sz w:val="20"/>
        </w:rPr>
      </w:pPr>
      <w:r>
        <w:rPr>
          <w:rFonts w:ascii="Times New Roman;Times;serif" w:hAnsi="Times New Roman;Times;serif"/>
          <w:color w:val="000000"/>
          <w:sz w:val="20"/>
        </w:rPr>
        <w:t>(v)          </w:t>
      </w:r>
      <w:r>
        <w:rPr>
          <w:rFonts w:ascii="Times New Roman;Times;serif" w:hAnsi="Times New Roman;Times;serif"/>
          <w:color w:val="000000"/>
          <w:sz w:val="20"/>
          <w:u w:val="single"/>
        </w:rPr>
        <w:t>Compensation for Buy-In on Failure to Timely Deliver Conversion Shares Upon Conversion</w:t>
      </w:r>
      <w:r>
        <w:rPr>
          <w:rFonts w:ascii="Times New Roman;Times;serif" w:hAnsi="Times New Roman;Times;serif"/>
          <w:color w:val="000000"/>
          <w:sz w:val="20"/>
        </w:rPr>
        <w:t xml:space="preserve">. In addition to any other rights available to the Holder, if the Company fails for any reason to deliver to the Holder such Conversion Shares by the Share Delivery Date pursuant to </w:t>
      </w:r>
      <w:r>
        <w:rPr>
          <w:rFonts w:ascii="Times New Roman;Times;serif" w:hAnsi="Times New Roman;Times;serif"/>
          <w:color w:val="000000"/>
          <w:sz w:val="20"/>
          <w:u w:val="single"/>
        </w:rPr>
        <w:t>Section 4(c)(ii)</w:t>
      </w:r>
      <w:r>
        <w:rPr>
          <w:rFonts w:ascii="Times New Roman;Times;serif" w:hAnsi="Times New Roman;Times;serif"/>
          <w:color w:val="000000"/>
          <w:sz w:val="20"/>
        </w:rPr>
        <w:t>, and if after such Share Delivery Date the Holder is required by its brokerage firm to purchase (in an open market transaction or otherwise), or the Holder’s brokerage firm otherwise purchases, Ordinary Shares to deliver in satisfaction of a sale by the Holder of the Conversion Shares which the Holder was entitled to receive upon the conversion relating to such Share Delivery Date (a “</w:t>
      </w:r>
      <w:r>
        <w:rPr>
          <w:rFonts w:ascii="Times New Roman;Times;serif" w:hAnsi="Times New Roman;Times;serif"/>
          <w:color w:val="000000"/>
          <w:sz w:val="20"/>
          <w:u w:val="single"/>
        </w:rPr>
        <w:t>Buy-In</w:t>
      </w:r>
      <w:r>
        <w:rPr>
          <w:rFonts w:ascii="Times New Roman;Times;serif" w:hAnsi="Times New Roman;Times;serif"/>
          <w:color w:val="000000"/>
          <w:sz w:val="20"/>
        </w:rPr>
        <w:t>”), then the Company shall (A) pay in cash to the Holder (in addition to any other remedies available to or elected by the Holder) the amount, if any, by which (x) the Holder’s total purchase price (including any brokerage commissions) for the Ordinary Shares so purchased exceeds (y) the product of (1) the aggregate number of Ordinary Shares that the Holder was entitled to receive from the conversion at issue multiplied by (2) the actual sale price at which the sell order giving rise to such purchase obligation was executed (including any brokerage commissions) and (B) at the option of the Holder, either reissue (if surrendered) this Note in a principal amount equal to the principal amount (</w:t>
      </w:r>
      <w:r>
        <w:rPr>
          <w:rFonts w:ascii="Times New Roman;Times;serif" w:hAnsi="Times New Roman;Times;serif"/>
          <w:i/>
          <w:color w:val="000000"/>
          <w:sz w:val="20"/>
        </w:rPr>
        <w:t>plus</w:t>
      </w:r>
      <w:r>
        <w:rPr>
          <w:rFonts w:ascii="Times New Roman;Times;serif" w:hAnsi="Times New Roman;Times;serif"/>
          <w:color w:val="000000"/>
          <w:sz w:val="20"/>
        </w:rPr>
        <w:t xml:space="preserve">, if applicable, any accrued and unpaid interest thereon) of the attempted conversion (in which case such conversion shall be deemed rescinded) or deliver to the Holder the number of Ordinary Shares that would have been issued if the Company had timely complied with its delivery requirements under </w:t>
      </w:r>
      <w:r>
        <w:rPr>
          <w:rFonts w:ascii="Times New Roman;Times;serif" w:hAnsi="Times New Roman;Times;serif"/>
          <w:color w:val="000000"/>
          <w:sz w:val="20"/>
          <w:u w:val="single"/>
        </w:rPr>
        <w:t>Section 4(c)(ii)</w:t>
      </w:r>
      <w:r>
        <w:rPr>
          <w:rFonts w:ascii="Times New Roman;Times;serif" w:hAnsi="Times New Roman;Times;serif"/>
          <w:color w:val="000000"/>
          <w:sz w:val="20"/>
        </w:rPr>
        <w:t>.  For example, if the Holder purchases Ordinary Shares having a total purchase price of $11,000 to cover a Buy-In with respect to an attempted conversion of this Note with respect to which the actual sale price of the Conversion Shares (including any brokerage commissions) giving rise to such purchase obligation was a total of $10,000 under clause (A) of the immediately preceding sentence, the Company shall be required to pay the Holder $1,000.  The Holder shall provide the Company written notice indicating the amounts payable to the Holder in respect of the Buy-In and, upon request of the Company, evidence of the amount of such loss.  Nothing herein shall limit a Holder’s right to pursue any other remedies available to it hereunder, at law or in equity including, without limitation, a decree of specific performance and/or injunctive relief with respect to the Company’s failure to timely deliver Conversion Shares upon conversion of this Note as required pursuant to the terms hereof.</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1440" w:right="0" w:firstLine="720"/>
        <w:jc w:val="both"/>
        <w:rPr>
          <w:rFonts w:ascii="Times New Roman;Times;serif" w:hAnsi="Times New Roman;Times;serif"/>
          <w:color w:val="000000"/>
          <w:sz w:val="20"/>
        </w:rPr>
      </w:pPr>
      <w:r>
        <w:rPr>
          <w:rFonts w:ascii="Times New Roman;Times;serif" w:hAnsi="Times New Roman;Times;serif"/>
          <w:color w:val="000000"/>
          <w:sz w:val="20"/>
        </w:rPr>
        <w:t>(vi)          </w:t>
      </w:r>
      <w:r>
        <w:rPr>
          <w:rFonts w:ascii="Times New Roman;Times;serif" w:hAnsi="Times New Roman;Times;serif"/>
          <w:color w:val="000000"/>
          <w:sz w:val="20"/>
          <w:u w:val="single"/>
        </w:rPr>
        <w:t>Reservation of Shares Issuable Upon Conversion</w:t>
      </w:r>
      <w:r>
        <w:rPr>
          <w:rFonts w:ascii="Times New Roman;Times;serif" w:hAnsi="Times New Roman;Times;serif"/>
          <w:color w:val="000000"/>
          <w:sz w:val="20"/>
        </w:rPr>
        <w:t>. The Company covenants that it will at all times reserve and keep available out of its authorized and unissued Ordinary Shares for the sole purpose of issuance upon conversion of this Note, each as herein provided, free from preemptive rights or any other actual contingent purchase rights of Persons other than the Holder (and the other holders of the Notes), not less than 100% of such aggregate number of Ordinary Shares as shall (subject to the terms and conditions set forth in the Purchase Agreement) be issuable (taking into account the adjustments and restrictions of Section 5) upon the conversion of the then outstanding principal amount of this Note (</w:t>
      </w:r>
      <w:r>
        <w:rPr>
          <w:rFonts w:ascii="Times New Roman;Times;serif" w:hAnsi="Times New Roman;Times;serif"/>
          <w:i/>
          <w:color w:val="000000"/>
          <w:sz w:val="20"/>
        </w:rPr>
        <w:t>plus</w:t>
      </w:r>
      <w:r>
        <w:rPr>
          <w:rFonts w:ascii="Times New Roman;Times;serif" w:hAnsi="Times New Roman;Times;serif"/>
          <w:color w:val="000000"/>
          <w:sz w:val="20"/>
        </w:rPr>
        <w:t>, if applicable, any accrued and unpaid interest thereon) at the Conversion Price then in effect (the “</w:t>
      </w:r>
      <w:r>
        <w:rPr>
          <w:rFonts w:ascii="Times New Roman;Times;serif" w:hAnsi="Times New Roman;Times;serif"/>
          <w:color w:val="000000"/>
          <w:sz w:val="20"/>
          <w:u w:val="single"/>
        </w:rPr>
        <w:t>Required Reserve Amount</w:t>
      </w:r>
      <w:r>
        <w:rPr>
          <w:rFonts w:ascii="Times New Roman;Times;serif" w:hAnsi="Times New Roman;Times;serif"/>
          <w:color w:val="000000"/>
          <w:sz w:val="20"/>
        </w:rPr>
        <w:t>”).  The Company covenants that all Ordinary Shares that shall be so issuable shall, upon issue, be duly authorized, validly issued, fully paid and nonassessable. If, notwithstanding this Section 4(c)(vi), and not in limitation thereof, at any time while any of the Notes remain outstanding, the Company does not have a sufficient number of authorized and unreserved Ordinary Shares to satisfy its obligation to reserve the Required Reserve Amount (an “</w:t>
      </w:r>
      <w:r>
        <w:rPr>
          <w:rFonts w:ascii="Times New Roman;Times;serif" w:hAnsi="Times New Roman;Times;serif"/>
          <w:color w:val="000000"/>
          <w:sz w:val="20"/>
          <w:u w:val="single"/>
        </w:rPr>
        <w:t>Authorized Share Failure</w:t>
      </w:r>
      <w:r>
        <w:rPr>
          <w:rFonts w:ascii="Times New Roman;Times;serif" w:hAnsi="Times New Roman;Times;serif"/>
          <w:color w:val="000000"/>
          <w:sz w:val="20"/>
        </w:rPr>
        <w:t>”), then the Company shall immediately take all action necessary to increase the Company’s authorized Ordinary Shares to an amount sufficient to allow the Company to reserve the Required Reserve Amount for all the Notes then outstanding.  Without limiting the generality of the foregoing sentence, as soon as practicable after the date of the occurrence of an Authorized Share Failure, but in no event later than sixty (60) days after the occurrence of such Authorized Share Failure, the Company shall hold a meeting of its shareholders for the approval of an increase in the number of authorized Ordinary Shares. In connection with such meeting, the Company shall provide each shareholder with a proxy statement and shall use its best efforts to solicit its shareholders’ approval of such increase in authorized Ordinary Shares and to cause its board of directors to recommend to the shareholders that they approve such proposal. Notwithstanding the foregoing, if any such time of an Authorized Share Failure, the Company is able to obtain the written consent of a majority of the shares of its issued and outstanding Ordinary Shares to approve the increase in the number of authorized Ordinary Shares, the Company may satisfy this obligation by obtaining such consent and submitting for filing with the SEC an Information Statement on Schedule 14C.</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1440" w:right="0" w:firstLine="720"/>
        <w:jc w:val="both"/>
        <w:rPr>
          <w:rFonts w:ascii="Times New Roman;Times;serif" w:hAnsi="Times New Roman;Times;serif"/>
          <w:color w:val="000000"/>
          <w:sz w:val="20"/>
        </w:rPr>
      </w:pPr>
      <w:r>
        <w:rPr>
          <w:rFonts w:ascii="Times New Roman;Times;serif" w:hAnsi="Times New Roman;Times;serif"/>
          <w:color w:val="000000"/>
          <w:sz w:val="20"/>
        </w:rPr>
        <w:t>(vii)          </w:t>
      </w:r>
      <w:r>
        <w:rPr>
          <w:rFonts w:ascii="Times New Roman;Times;serif" w:hAnsi="Times New Roman;Times;serif"/>
          <w:color w:val="000000"/>
          <w:sz w:val="20"/>
          <w:u w:val="single"/>
        </w:rPr>
        <w:t>Fractional Shares</w:t>
      </w:r>
      <w:r>
        <w:rPr>
          <w:rFonts w:ascii="Times New Roman;Times;serif" w:hAnsi="Times New Roman;Times;serif"/>
          <w:color w:val="000000"/>
          <w:sz w:val="20"/>
        </w:rPr>
        <w:t>. No fractional shares or scrip representing fractional shares shall be issued upon the conversion of this Note.  As to any fraction of a share which the Holder would otherwise be entitled to purchase upon such conversion, the Company shall at its election, either pay a cash adjustment in respect of such final fraction in an amount equal to such fraction multiplied by the Conversion Price or round down to the next whole share.</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9</w:t>
      </w:r>
    </w:p>
    <w:p>
      <w:pPr>
        <w:pStyle w:val="HorizontalLine"/>
        <w:pBdr>
          <w:bottom w:val="single" w:sz="12" w:space="0" w:color="808080"/>
        </w:pBdr>
        <w:bidi w:val="0"/>
        <w:spacing w:before="200" w:after="200"/>
        <w:jc w:val="left"/>
        <w:rPr/>
      </w:pPr>
      <w:r>
        <w:rPr/>
      </w:r>
    </w:p>
    <w:p>
      <w:pPr>
        <w:pStyle w:val="TextBody"/>
        <w:bidi w:val="0"/>
        <w:spacing w:lineRule="auto" w:line="300" w:before="0" w:after="0"/>
        <w:ind w:left="1440" w:right="0" w:firstLine="720"/>
        <w:jc w:val="both"/>
        <w:rPr>
          <w:rFonts w:ascii="Times New Roman;Times;serif" w:hAnsi="Times New Roman;Times;serif"/>
          <w:color w:val="000000"/>
          <w:sz w:val="20"/>
        </w:rPr>
      </w:pPr>
      <w:r>
        <w:rPr>
          <w:rFonts w:ascii="Times New Roman;Times;serif" w:hAnsi="Times New Roman;Times;serif"/>
          <w:color w:val="000000"/>
          <w:sz w:val="20"/>
        </w:rPr>
        <w:t>(viii)          </w:t>
      </w:r>
      <w:r>
        <w:rPr>
          <w:rFonts w:ascii="Times New Roman;Times;serif" w:hAnsi="Times New Roman;Times;serif"/>
          <w:color w:val="000000"/>
          <w:sz w:val="20"/>
          <w:u w:val="single"/>
        </w:rPr>
        <w:t>Transfer Taxes and Expenses</w:t>
      </w:r>
      <w:r>
        <w:rPr>
          <w:rFonts w:ascii="Times New Roman;Times;serif" w:hAnsi="Times New Roman;Times;serif"/>
          <w:color w:val="000000"/>
          <w:sz w:val="20"/>
        </w:rPr>
        <w:t>.  The issuance of Conversion Shares on conversion of this Note shall be made without charge to the Holder hereof for any documentary stamp or similar taxes that may be payable in respect of the issue or delivery of such Conversion Shares, provided that the Company shall not be required to pay any tax that may be payable in respect of any transfer involved in the issuance and delivery of any such Conversion Shares upon conversion in a name other than that of the Holder of this Note so converted and the Company shall not be required to issue or deliver such Conversion Shares unless or until the Person or Persons requesting the issuance thereof shall have paid to the Company the amount of such tax or shall have established to the satisfaction of the Company that such tax has been paid.  The Company shall pay all Transfer Agent fees required for same-day processing of any Notice of Conversion and all fees to the Depository Trust Company (or another established clearing corporation performing similar functions) required for same-day electronic delivery of the Conversion Shares.</w:t>
      </w:r>
    </w:p>
    <w:p>
      <w:pPr>
        <w:pStyle w:val="TextBody"/>
        <w:bidi w:val="0"/>
        <w:spacing w:lineRule="auto" w:line="300" w:before="0" w:after="0"/>
        <w:jc w:val="left"/>
        <w:rPr>
          <w:color w:val="000000"/>
        </w:rPr>
      </w:pPr>
      <w:r>
        <w:rPr>
          <w:color w:val="000000"/>
        </w:rPr>
        <w:t> </w:t>
      </w:r>
    </w:p>
    <w:p>
      <w:pPr>
        <w:pStyle w:val="TextBody"/>
        <w:bidi w:val="0"/>
        <w:spacing w:lineRule="auto" w:line="240"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(d)          </w:t>
      </w:r>
      <w:r>
        <w:rPr>
          <w:rFonts w:ascii="Times New Roman;Times;serif" w:hAnsi="Times New Roman;Times;serif"/>
          <w:color w:val="000000"/>
          <w:sz w:val="20"/>
          <w:u w:val="single"/>
        </w:rPr>
        <w:t>Holder’s Conversion Limitations</w:t>
      </w:r>
      <w:r>
        <w:rPr>
          <w:rFonts w:ascii="Times New Roman;Times;serif" w:hAnsi="Times New Roman;Times;serif"/>
          <w:color w:val="000000"/>
          <w:sz w:val="20"/>
        </w:rPr>
        <w:t>.  The Company shall not effect any conversion of this Note, and a Holder shall not have the right to convert any portion of this Note, to the extent that after giving effect to the conversion set forth on the applicable Notice of Conversion, the Holder (together with the Holder’s Affiliates, and any other Persons acting as a group together with the Holder or any of the Holder’s Affiliates (such Persons, “</w:t>
      </w:r>
      <w:r>
        <w:rPr>
          <w:rFonts w:ascii="Times New Roman;Times;serif" w:hAnsi="Times New Roman;Times;serif"/>
          <w:color w:val="000000"/>
          <w:sz w:val="20"/>
          <w:u w:val="single"/>
        </w:rPr>
        <w:t>Attribution Parties</w:t>
      </w:r>
      <w:r>
        <w:rPr>
          <w:rFonts w:ascii="Times New Roman;Times;serif" w:hAnsi="Times New Roman;Times;serif"/>
          <w:color w:val="000000"/>
          <w:sz w:val="20"/>
        </w:rPr>
        <w:t>”)) would beneficially own in excess of the Beneficial Ownership Limitation (as defined below).  For purposes of the foregoing sentence, the number of Ordinary Shares beneficially owned by the Holder and its Affiliates and Attribution Parties shall include the number of Ordinary Shares issuable upon conversion of this Note with respect to which such determination is being made, but shall exclude the number of Ordinary Shares which would be issuable upon (i) conversion of the remaining, unconverted principal amount of this Note (</w:t>
      </w:r>
      <w:r>
        <w:rPr>
          <w:rFonts w:ascii="Times New Roman;Times;serif" w:hAnsi="Times New Roman;Times;serif"/>
          <w:i/>
          <w:color w:val="000000"/>
          <w:sz w:val="20"/>
        </w:rPr>
        <w:t>plus</w:t>
      </w:r>
      <w:r>
        <w:rPr>
          <w:rFonts w:ascii="Times New Roman;Times;serif" w:hAnsi="Times New Roman;Times;serif"/>
          <w:color w:val="000000"/>
          <w:sz w:val="20"/>
        </w:rPr>
        <w:t>, if applicable, any accrued and unpaid interest thereon) beneficially owned by the Holder or any of its Affiliates or Attribution Parties and (ii) exercise or conversion of the unexercised or unconverted portion of any other securities of the Company subject to a limitation on conversion or exercise analogous to the limitation contained herein (including, without limitation, any Additional Notes, the Initial Warrants or any Additional Warrants) beneficially owned by the Holder or any of its Affiliates or Attribution Parties.  Except as set forth in the preceding sentence, for purposes of this Section 4(d), beneficial ownership shall be calculated in accordance with Section 13(d) of the Exchange Act and the rules and regulations promulgated thereunder.  To the extent that the limitation contained in this Section 4(d) applies, the determination of whether this Note is convertible (in relation to other securities owned by the Holder together with any Affiliates and Attribution Parties) and of which principal amount (</w:t>
      </w:r>
      <w:r>
        <w:rPr>
          <w:rFonts w:ascii="Times New Roman;Times;serif" w:hAnsi="Times New Roman;Times;serif"/>
          <w:i/>
          <w:color w:val="000000"/>
          <w:sz w:val="20"/>
        </w:rPr>
        <w:t>plus</w:t>
      </w:r>
      <w:r>
        <w:rPr>
          <w:rFonts w:ascii="Times New Roman;Times;serif" w:hAnsi="Times New Roman;Times;serif"/>
          <w:color w:val="000000"/>
          <w:sz w:val="20"/>
        </w:rPr>
        <w:t>, if applicable, any accrued and unpaid interest thereon) of this Note is convertible shall be in the sole discretion of the Holder, and the submission of a Notice of Conversion shall be deemed to be the Holder’s determination of whether this Note may be converted (in relation to other securities owned by the Holder together with any Affiliates or Attribution Parties) and which principal amount (</w:t>
      </w:r>
      <w:r>
        <w:rPr>
          <w:rFonts w:ascii="Times New Roman;Times;serif" w:hAnsi="Times New Roman;Times;serif"/>
          <w:i/>
          <w:color w:val="000000"/>
          <w:sz w:val="20"/>
        </w:rPr>
        <w:t>plus</w:t>
      </w:r>
      <w:r>
        <w:rPr>
          <w:rFonts w:ascii="Times New Roman;Times;serif" w:hAnsi="Times New Roman;Times;serif"/>
          <w:color w:val="000000"/>
          <w:sz w:val="20"/>
        </w:rPr>
        <w:t>, if applicable, any accrued and unpaid interest thereon) of this Note is convertible, in each case subject to the Beneficial Ownership Limitation, and the Company shall have no obligation to verify or confirm the accuracy of such determination.  In addition, a determination as to any group status as contemplated above shall be determined in accordance with Section 13(d) of the Exchange Act and the rules and regulations promulgated thereunder.   For purposes of this Section 4(d), in determining the number of outstanding Ordinary Shares, the Holder may rely on the number of Ordinary Shares as reflected in (A) the Company’s most recent periodic or annual report filed with the Commission, as the case may be, (B) a more recent public announcement by the Company, or (C) a more recent written notice by the Company or the Transfer Agent setting forth the number of Ordinary Shares outstanding.  Upon the written or oral request of a Holder, the Company shall within one Trading Day confirm orally and in writing to the Holder the number of Ordinary Shares then outstanding.  In any case, the number of outstanding Ordinary Shares shall be determined after giving effect to the conversion or exercise of securities of the Company, including this Note, any Additional Notes, and the Initial Warrants and any Additional Warrants, by the Holder or its Affiliates or Attribution Parties since the date as of which such number of outstanding Ordinary Shares was reported. The “</w:t>
      </w:r>
      <w:r>
        <w:rPr>
          <w:rFonts w:ascii="Times New Roman;Times;serif" w:hAnsi="Times New Roman;Times;serif"/>
          <w:color w:val="000000"/>
          <w:sz w:val="20"/>
          <w:u w:val="single"/>
        </w:rPr>
        <w:t>Beneficial Ownership Limitation</w:t>
      </w:r>
      <w:r>
        <w:rPr>
          <w:rFonts w:ascii="Times New Roman;Times;serif" w:hAnsi="Times New Roman;Times;serif"/>
          <w:color w:val="000000"/>
          <w:sz w:val="20"/>
        </w:rPr>
        <w:t>” shall be 4.99% of the number of Ordinary Shares outstanding immediately after giving effect to the issuance of Ordinary Shares issuable upon conversion of this Note.  The Holder, upon notice to the Company, may increase or decrease the Beneficial Ownership Limitation provisions of this Section 2(e), provided that the Beneficial Ownership Limitation in no event exceeds 4.99% of the number of Ordinary Shares outstanding immediately after giving effect to the issuance of Ordinary Shares upon conversion of this Note held by the Holder and the provisions of this Section 4(d) shall continue to apply; provided that (i) any such increase in the Beneficial Ownership Limitation will not be effective until the sixty-first (61st) day after such notice is delivered to the Company, and (ii) any such increase or decrease will apply only to the Holder and the other Attribution Parties and not to any other holder of Notes that is not an Attribution Party of the Holder. The Beneficial Ownership Limitation provisions of this paragraph shall be construed and implemented in a manner otherwise than in strict conformity with the terms of this Section 4(d) to correct this paragraph (or any portion hereof) which may be defective or inconsistent with the intended Beneficial Ownership Limitation contained herein or to make changes or supplements necessary or desirable to properly give effect to such limitation. The limitations contained in this paragraph shall apply to a successor holder of this Note.</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10</w:t>
      </w:r>
    </w:p>
    <w:p>
      <w:pPr>
        <w:pStyle w:val="HorizontalLine"/>
        <w:pBdr>
          <w:bottom w:val="single" w:sz="12" w:space="0" w:color="808080"/>
        </w:pBdr>
        <w:bidi w:val="0"/>
        <w:spacing w:before="200" w:after="200"/>
        <w:jc w:val="left"/>
        <w:rPr/>
      </w:pPr>
      <w:r>
        <w:rPr/>
      </w:r>
    </w:p>
    <w:p>
      <w:pPr>
        <w:pStyle w:val="TextBody"/>
        <w:bidi w:val="0"/>
        <w:spacing w:lineRule="auto" w:line="300"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(e)          </w:t>
      </w:r>
      <w:r>
        <w:rPr>
          <w:rFonts w:ascii="Times New Roman;Times;serif" w:hAnsi="Times New Roman;Times;serif"/>
          <w:color w:val="000000"/>
          <w:sz w:val="20"/>
          <w:u w:val="single"/>
        </w:rPr>
        <w:t>Principal Market Regulation</w:t>
      </w:r>
      <w:r>
        <w:rPr>
          <w:rFonts w:ascii="Times New Roman;Times;serif" w:hAnsi="Times New Roman;Times;serif"/>
          <w:color w:val="000000"/>
          <w:sz w:val="20"/>
        </w:rPr>
        <w:t>. The Company shall not issue any Ordinary Shares upon conversion of this Note or otherwise pursuant to the terms of this Note, or upon exercise of the Warrants held by the Holder, if the issuance of such Ordinary Shares would exceed the aggregate number of Ordinary Shares which the Company may issue upon conversion of all Notes or otherwise pursuant to the terms of all Notes (as the case may be), or upon exercise of all Warrants, in each case, issued pursuant to the Purchase Agreement, without breaching the Company’s obligations under the rules or regulations of the Nasdaq Capital Market.(the “</w:t>
      </w:r>
      <w:r>
        <w:rPr>
          <w:rFonts w:ascii="Times New Roman;Times;serif" w:hAnsi="Times New Roman;Times;serif"/>
          <w:color w:val="000000"/>
          <w:sz w:val="20"/>
          <w:u w:val="single"/>
        </w:rPr>
        <w:t>Principal Market</w:t>
      </w:r>
      <w:r>
        <w:rPr>
          <w:rFonts w:ascii="Times New Roman;Times;serif" w:hAnsi="Times New Roman;Times;serif"/>
          <w:color w:val="000000"/>
          <w:sz w:val="20"/>
        </w:rPr>
        <w:t>”) (the number of Ordinary Shares which may be issued without violating such rules and regulations, including rules related to the aggregation of offerings under NASDAQ Listing Rule 5635(d), the “</w:t>
      </w:r>
      <w:r>
        <w:rPr>
          <w:rFonts w:ascii="Times New Roman;Times;serif" w:hAnsi="Times New Roman;Times;serif"/>
          <w:color w:val="000000"/>
          <w:sz w:val="20"/>
          <w:u w:val="single"/>
        </w:rPr>
        <w:t>Exchange Cap</w:t>
      </w:r>
      <w:r>
        <w:rPr>
          <w:rFonts w:ascii="Times New Roman;Times;serif" w:hAnsi="Times New Roman;Times;serif"/>
          <w:color w:val="000000"/>
          <w:sz w:val="20"/>
        </w:rPr>
        <w:t>”), except that such limitation shall not apply in the event that the Company (A) obtains the Shareholder Approval or (B) obtains a written opinion from counsel to the Company that such approval is not required, which opinion shall be reasonably satisfactory to the Holder. Until such approval or such written opinion is obtained, no Purchaser shall be issued in the aggregate, upon conversion or exercise (as the case may be) of any Notes or otherwise pursuant to the terms of the Notes, or of any Warrants or otherwise pursuant to the terms of the Warrants, Ordinary Shares in an amount greater than the product of (i) the Exchange Cap as of the date of the Purchase Agreement multiplied by (ii) the quotient of (1) the original principal amount of Notes issued to such Purchaser pursuant to the Purchase Agreement on the Closing Date (as defined in the Purchase Agreement) divided by (2) the aggregate original principal amount of all Notes issued to the Purchaser pursuant to the Purchase Agreement on the Date (with respect to each Purchaser, the “</w:t>
      </w:r>
      <w:r>
        <w:rPr>
          <w:rFonts w:ascii="Times New Roman;Times;serif" w:hAnsi="Times New Roman;Times;serif"/>
          <w:color w:val="000000"/>
          <w:sz w:val="20"/>
          <w:u w:val="single"/>
        </w:rPr>
        <w:t>Exchange Cap Allocation</w:t>
      </w:r>
      <w:r>
        <w:rPr>
          <w:rFonts w:ascii="Times New Roman;Times;serif" w:hAnsi="Times New Roman;Times;serif"/>
          <w:color w:val="000000"/>
          <w:sz w:val="20"/>
        </w:rPr>
        <w:t>”). In the event that any Purchaser shall sell or otherwise transfer any of such Purchaser’s Notes, the transferee shall be allocated a pro rata portion of such Purchaser’s Exchange Cap Allocation with respect to such portion of such Notes so transferred, and the restrictions of the prior sentence shall apply to such transferee with respect to the portion of the Exchange Cap Allocation so allocated to such transferee. Upon conversion in full of a holder’s Notes, the difference (if any) between such holder’s Exchange Cap Allocation and the number of Ordinary Shares actually issued to such holder upon such holder’s conversion in full of such Notes shall be allocated, to the respective Exchange Cap Allocations of the remaining holders of Notes on a pro rata basis in proportion to the Ordinary Shares underlying the Notes then held by each such holder of Notes.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(f)          </w:t>
      </w:r>
      <w:r>
        <w:rPr>
          <w:rFonts w:ascii="Times New Roman;Times;serif" w:hAnsi="Times New Roman;Times;serif"/>
          <w:color w:val="000000"/>
          <w:sz w:val="20"/>
          <w:u w:val="single"/>
        </w:rPr>
        <w:t>Holder of Record of Conversion Shares</w:t>
      </w:r>
      <w:r>
        <w:rPr>
          <w:rFonts w:ascii="Times New Roman;Times;serif" w:hAnsi="Times New Roman;Times;serif"/>
          <w:color w:val="000000"/>
          <w:sz w:val="20"/>
        </w:rPr>
        <w:t>. The Person in whose name any Conversion Share is issuable or deliverable upon conversion of this Note will be deemed for all corporate purposes to hold such share as of the close of business on the date of receipt by such Person of the Conversion Shares for such conversion.</w:t>
      </w:r>
    </w:p>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91" w:name="z9fcf5743e0dd4321aab116a35864ad08"/>
      <w:bookmarkStart w:id="92" w:name="z9fcf5743e0dd4321aab116a35864ad08"/>
      <w:bookmarkEnd w:id="92"/>
    </w:p>
    <w:tbl>
      <w:tblPr>
        <w:tblW w:w="2613" w:type="dxa"/>
        <w:jc w:val="left"/>
        <w:tblInd w:w="0" w:type="dxa"/>
        <w:tblLayout w:type="fixed"/>
        <w:tblCellMar>
          <w:top w:w="0" w:type="dxa"/>
          <w:left w:w="0" w:type="dxa"/>
          <w:bottom w:w="0" w:type="dxa"/>
          <w:right w:w="0" w:type="dxa"/>
        </w:tblCellMar>
      </w:tblPr>
      <w:tblGrid>
        <w:gridCol w:w="38"/>
        <w:gridCol w:w="830"/>
        <w:gridCol w:w="1745"/>
      </w:tblGrid>
      <w:tr>
        <w:trPr/>
        <w:tc>
          <w:tcPr>
            <w:tcW w:w="38" w:type="dxa"/>
            <w:tcBorders/>
            <w:vAlign w:val="center"/>
          </w:tcPr>
          <w:p>
            <w:pPr>
              <w:pStyle w:val="TableContents"/>
              <w:bidi w:val="0"/>
              <w:spacing w:before="0" w:after="283"/>
              <w:jc w:val="left"/>
              <w:rPr/>
            </w:pPr>
            <w:r>
              <w:rPr/>
            </w:r>
          </w:p>
        </w:tc>
        <w:tc>
          <w:tcPr>
            <w:tcW w:w="830" w:type="dxa"/>
            <w:tcBorders/>
            <w:vAlign w:val="center"/>
          </w:tcPr>
          <w:p>
            <w:pPr>
              <w:pStyle w:val="TableContents"/>
              <w:bidi w:val="0"/>
              <w:spacing w:before="0" w:after="283"/>
              <w:jc w:val="left"/>
              <w:rPr>
                <w:rFonts w:ascii="Times New Roman;Times;serif" w:hAnsi="Times New Roman;Times;serif"/>
                <w:sz w:val="20"/>
                <w:u w:val="single"/>
              </w:rPr>
            </w:pPr>
            <w:r>
              <w:rPr>
                <w:rFonts w:ascii="Times New Roman;Times;serif" w:hAnsi="Times New Roman;Times;serif"/>
                <w:sz w:val="20"/>
                <w:u w:val="single"/>
              </w:rPr>
              <w:t>Section 5.</w:t>
            </w:r>
          </w:p>
        </w:tc>
        <w:tc>
          <w:tcPr>
            <w:tcW w:w="1745" w:type="dxa"/>
            <w:tcBorders/>
            <w:vAlign w:val="center"/>
          </w:tcPr>
          <w:p>
            <w:pPr>
              <w:pStyle w:val="TableContents"/>
              <w:bidi w:val="0"/>
              <w:spacing w:before="0" w:after="0"/>
              <w:jc w:val="both"/>
              <w:rPr>
                <w:rFonts w:ascii="Times New Roman;Times;serif" w:hAnsi="Times New Roman;Times;serif"/>
                <w:sz w:val="20"/>
                <w:u w:val="single"/>
              </w:rPr>
            </w:pPr>
            <w:r>
              <w:rPr>
                <w:rFonts w:ascii="Times New Roman;Times;serif" w:hAnsi="Times New Roman;Times;serif"/>
                <w:sz w:val="20"/>
                <w:u w:val="single"/>
              </w:rPr>
              <w:t>Certain Adjustments.</w:t>
            </w:r>
          </w:p>
        </w:tc>
      </w:tr>
    </w:tbl>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(a)          </w:t>
      </w:r>
      <w:r>
        <w:rPr>
          <w:rFonts w:ascii="Times New Roman;Times;serif" w:hAnsi="Times New Roman;Times;serif"/>
          <w:color w:val="000000"/>
          <w:sz w:val="20"/>
          <w:u w:val="single"/>
        </w:rPr>
        <w:t>Share Dividends and Share Splits</w:t>
      </w:r>
      <w:r>
        <w:rPr>
          <w:rFonts w:ascii="Times New Roman;Times;serif" w:hAnsi="Times New Roman;Times;serif"/>
          <w:color w:val="000000"/>
          <w:sz w:val="20"/>
        </w:rPr>
        <w:t>.  If the Company, at any time while this Note is outstanding: (i) pays a share dividend or otherwise makes a distribution or distributions payable in Ordinary Shares on Ordinary Shares or any Ordinary Share Equivalents (which, for the avoidance of doubt, shall not include any Ordinary Shares issued by the Company upon conversion of the Notes), (ii) subdivides outstanding Ordinary Shares into a larger number of shares, (iii) combines (including by way of a reverse share split) outstanding Ordinary Shares into a smaller number of shares or (iv) issues, in the event of a reclassification of Ordinary Shares, any shares of the share capital of the Company, then the Conversion Price shall be multiplied by a fraction of which the numerator shall be the number of Ordinary Shares (excluding any treasury shares of the Company) outstanding immediately before such event, and of which the denominator shall be the number of Ordinary Shares outstanding immediately after such event.  Any adjustment made pursuant to this Section shall become effective immediately after the record date for the determination of shareholders entitled to receive such dividend or distribution and shall become effective immediately after the effective date in the case of a subdivision, combination or re classification.</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(b)          </w:t>
      </w:r>
      <w:r>
        <w:rPr>
          <w:rFonts w:ascii="Times New Roman;Times;serif" w:hAnsi="Times New Roman;Times;serif"/>
          <w:color w:val="000000"/>
          <w:sz w:val="20"/>
          <w:u w:val="single"/>
        </w:rPr>
        <w:t>Reserved</w:t>
      </w:r>
      <w:r>
        <w:rPr>
          <w:rFonts w:ascii="Times New Roman;Times;serif" w:hAnsi="Times New Roman;Times;serif"/>
          <w:color w:val="000000"/>
          <w:sz w:val="20"/>
        </w:rPr>
        <w:t>.</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11</w:t>
      </w:r>
    </w:p>
    <w:p>
      <w:pPr>
        <w:pStyle w:val="HorizontalLine"/>
        <w:pBdr>
          <w:bottom w:val="single" w:sz="12" w:space="0" w:color="808080"/>
        </w:pBdr>
        <w:bidi w:val="0"/>
        <w:spacing w:before="200" w:after="200"/>
        <w:jc w:val="left"/>
        <w:rPr/>
      </w:pPr>
      <w:r>
        <w:rPr/>
      </w:r>
    </w:p>
    <w:p>
      <w:pPr>
        <w:pStyle w:val="TextBody"/>
        <w:bidi w:val="0"/>
        <w:spacing w:lineRule="auto" w:line="300"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(c)          </w:t>
      </w:r>
      <w:r>
        <w:rPr>
          <w:rFonts w:ascii="Times New Roman;Times;serif" w:hAnsi="Times New Roman;Times;serif"/>
          <w:color w:val="000000"/>
          <w:sz w:val="20"/>
          <w:u w:val="single"/>
        </w:rPr>
        <w:t>Subsequent Rights Offerings</w:t>
      </w:r>
      <w:r>
        <w:rPr>
          <w:rFonts w:ascii="Times New Roman;Times;serif" w:hAnsi="Times New Roman;Times;serif"/>
          <w:color w:val="000000"/>
          <w:sz w:val="20"/>
        </w:rPr>
        <w:t>.  In addition to any adjustments pursuant to Section 5(a) above, if at any time the Company grants, issues or sells any Ordinary Share Equivalents or rights to purchase shares, warrants, securities or other property pro rata to the record holders of any class of Ordinary Shares, as a class (the “</w:t>
      </w:r>
      <w:r>
        <w:rPr>
          <w:rFonts w:ascii="Times New Roman;Times;serif" w:hAnsi="Times New Roman;Times;serif"/>
          <w:color w:val="000000"/>
          <w:sz w:val="20"/>
          <w:u w:val="single"/>
        </w:rPr>
        <w:t>Purchase Rights</w:t>
      </w:r>
      <w:r>
        <w:rPr>
          <w:rFonts w:ascii="Times New Roman;Times;serif" w:hAnsi="Times New Roman;Times;serif"/>
          <w:color w:val="000000"/>
          <w:sz w:val="20"/>
        </w:rPr>
        <w:t>”), then the Holder will be entitled to acquire, upon the terms applicable to such Purchase Rights, the aggregate Purchase Rights which the Holder could have acquired if the Holder had held the number of Ordinary Shares acquirable upon complete conversion of this Note (without regard to any limitations on conversion hereof, including without limitation, the Beneficial Ownership Limitation and assuming for such purpose that the Note was converted at the Conversion Price as of the applicable record date) immediately before the date on which a record is taken for the grant, issuance or sale of such Purchase Rights, or, if no such record is taken, the date as of which the record holders of Ordinary Shares are to be determined for the grant, issue or sale of such Purchase Rights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however</w:t>
      </w:r>
      <w:r>
        <w:rPr>
          <w:rFonts w:ascii="Times New Roman;Times;serif" w:hAnsi="Times New Roman;Times;serif"/>
          <w:color w:val="000000"/>
          <w:sz w:val="20"/>
        </w:rPr>
        <w:t>, that, to the extent that the Holder’s right to participate in any such Purchase Right would result in the Holder exceeding the Beneficial Ownership Limitation, then the Holder shall not be entitled to participate in such Purchase Right to such extent (or beneficial ownership of such Ordinary Shares as a result of such Purchase Right to such extent) and such Purchase Right to such extent shall be held in abeyance for the Holder until such time, if ever, as its right thereto would not result in the Holder exceeding the Beneficial Ownership Limitation).</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(d)          </w:t>
      </w:r>
      <w:r>
        <w:rPr>
          <w:rFonts w:ascii="Times New Roman;Times;serif" w:hAnsi="Times New Roman;Times;serif"/>
          <w:color w:val="000000"/>
          <w:sz w:val="20"/>
          <w:u w:val="single"/>
        </w:rPr>
        <w:t>Pro Rata Distributions</w:t>
      </w:r>
      <w:r>
        <w:rPr>
          <w:rFonts w:ascii="Times New Roman;Times;serif" w:hAnsi="Times New Roman;Times;serif"/>
          <w:color w:val="000000"/>
          <w:sz w:val="20"/>
        </w:rPr>
        <w:t>. During such time as this Note is outstanding, if the Company shall declare or make any dividend or other distribution of its assets (or rights to acquire its assets) to holders of Ordinary Shares, by way of return of capital or otherwise (including, without limitation, any distribution of cash, stock or other securities, property or options by way of a dividend, spin off, reclassification, corporate rearrangement, scheme of arrangement or other similar transaction) (a “</w:t>
      </w:r>
      <w:r>
        <w:rPr>
          <w:rFonts w:ascii="Times New Roman;Times;serif" w:hAnsi="Times New Roman;Times;serif"/>
          <w:color w:val="000000"/>
          <w:sz w:val="20"/>
          <w:u w:val="single"/>
        </w:rPr>
        <w:t>Distribution</w:t>
      </w:r>
      <w:r>
        <w:rPr>
          <w:rFonts w:ascii="Times New Roman;Times;serif" w:hAnsi="Times New Roman;Times;serif"/>
          <w:color w:val="000000"/>
          <w:sz w:val="20"/>
        </w:rPr>
        <w:t>”), at any time after the issuance of this Note, then, in each such case, the Holder shall be entitled to participate in such Distribution to the same extent that the Holder would have participated therein if the Holder had held the number of Ordinary Shares acquirable upon complete conversion of this Note (without regard to any limitations on conversion hereof, including without limitation, the Beneficial Ownership Limitation) immediately before the date of which a record is taken for such Distribution, or, if no such record is taken, the date as of which the record holders of Ordinary Shares are to be determined for the participation in such Distribution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however</w:t>
      </w:r>
      <w:r>
        <w:rPr>
          <w:rFonts w:ascii="Times New Roman;Times;serif" w:hAnsi="Times New Roman;Times;serif"/>
          <w:color w:val="000000"/>
          <w:sz w:val="20"/>
        </w:rPr>
        <w:t xml:space="preserve">, </w:t>
      </w:r>
      <w:r>
        <w:rPr>
          <w:rFonts w:ascii="Times New Roman;Times;serif" w:hAnsi="Times New Roman;Times;serif"/>
          <w:color w:val="000000"/>
          <w:sz w:val="20"/>
          <w:u w:val="single"/>
        </w:rPr>
        <w:t>that</w:t>
      </w:r>
      <w:r>
        <w:rPr>
          <w:rFonts w:ascii="Times New Roman;Times;serif" w:hAnsi="Times New Roman;Times;serif"/>
          <w:color w:val="000000"/>
          <w:sz w:val="20"/>
        </w:rPr>
        <w:t>, to the extent that the Holder’s right to participate in any such Distribution would result in the Holder exceeding the Beneficial Ownership Limitation, then the Holder shall not be entitled to participate in such Distribution to such extent (or in the beneficial ownership of any Ordinary Shares as a result of such Distribution to such extent) and the portion of such Distribution shall be held in abeyance for the benefit of the Holder until such time, if ever, as its right thereto would not result in the Holder exceeding the Beneficial Ownership Limitation).</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(e)          </w:t>
      </w:r>
      <w:r>
        <w:rPr>
          <w:rFonts w:ascii="Times New Roman;Times;serif" w:hAnsi="Times New Roman;Times;serif"/>
          <w:color w:val="000000"/>
          <w:sz w:val="20"/>
          <w:u w:val="single"/>
        </w:rPr>
        <w:t>Adjustment to Conversion Price</w:t>
      </w:r>
      <w:r>
        <w:rPr>
          <w:rFonts w:ascii="Times New Roman;Times;serif" w:hAnsi="Times New Roman;Times;serif"/>
          <w:color w:val="000000"/>
          <w:sz w:val="20"/>
        </w:rPr>
        <w:t xml:space="preserve">.  Whenever the Conversion Price is adjusted pursuant to any provision of this </w:t>
      </w:r>
      <w:r>
        <w:rPr>
          <w:rFonts w:ascii="Times New Roman;Times;serif" w:hAnsi="Times New Roman;Times;serif"/>
          <w:color w:val="000000"/>
          <w:sz w:val="20"/>
          <w:u w:val="single"/>
        </w:rPr>
        <w:t>Section 5</w:t>
      </w:r>
      <w:r>
        <w:rPr>
          <w:rFonts w:ascii="Times New Roman;Times;serif" w:hAnsi="Times New Roman;Times;serif"/>
          <w:color w:val="000000"/>
          <w:sz w:val="20"/>
        </w:rPr>
        <w:t>, the Company shall promptly deliver to each Holder a notice setting forth the Conversion Price after such adjustment and setting forth a brief statement of the facts requiring such adjustment.</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12</w:t>
      </w:r>
    </w:p>
    <w:p>
      <w:pPr>
        <w:pStyle w:val="HorizontalLine"/>
        <w:pBdr>
          <w:bottom w:val="single" w:sz="12" w:space="0" w:color="808080"/>
        </w:pBdr>
        <w:bidi w:val="0"/>
        <w:spacing w:before="200" w:after="200"/>
        <w:jc w:val="left"/>
        <w:rPr/>
      </w:pPr>
      <w:r>
        <w:rPr/>
      </w:r>
    </w:p>
    <w:p>
      <w:pPr>
        <w:pStyle w:val="TextBody"/>
        <w:bidi w:val="0"/>
        <w:spacing w:lineRule="auto" w:line="300"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(f)          </w:t>
      </w:r>
      <w:r>
        <w:rPr>
          <w:rFonts w:ascii="Times New Roman;Times;serif" w:hAnsi="Times New Roman;Times;serif"/>
          <w:color w:val="000000"/>
          <w:sz w:val="20"/>
          <w:u w:val="single"/>
        </w:rPr>
        <w:t>Notice to Allow Conversion by Holder</w:t>
      </w:r>
      <w:r>
        <w:rPr>
          <w:rFonts w:ascii="Times New Roman;Times;serif" w:hAnsi="Times New Roman;Times;serif"/>
          <w:color w:val="000000"/>
          <w:sz w:val="20"/>
        </w:rPr>
        <w:t>.  If (A) the Company shall declare a dividend (or any other distribution in whatever form) on the Ordinary Shares, (B) the Company shall declare a special nonrecurring cash dividend on or a redemption of the Ordinary Shares, (C) the Company shall authorize the granting to all holders of the Ordinary Shares of rights or warrants to subscribe for or purchase any shares of the share capital of any class or of any rights, (D) the approval of any shareholders of the Company shall be required in connection with any reclassification of the Ordinary Shares, any consolidation or merger to which the Company (and all of its Subsidiaries, taken as a whole)  is a party, any sale or transfer of all or substantially all of the assets of the Company, or any compulsory share exchange whereby the Ordinary Shares are converted into other securities, cash or property or (E) the Company shall authorize the voluntary or involuntary dissolution, liquidation or winding up of the affairs of the Company, then, in each case, the Company shall cause to be filed at each office or agency maintained for the purpose of conversion of this Note, and shall cause to be delivered to the Holder at its last address as it shall appear upon the Note Register, at least twenty (20)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Ordinary Shares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Ordinary Shares of record shall be entitled to exchange their Ordinary Shares for securities, cash or other property deliverable upon such reclassification, consolidation, merger, sale, transfer or share exchange, provided that the failure to deliver such notice or any defect therein or in the delivery thereof shall not affect the validity of the corporate action required to be specified in such notice.  To the extent that any notice provided hereunder constitutes, or contains, material, non-public information regarding the Company or any of the Subsidiaries, the Company shall simultaneously file such notice with the Commission pursuant to a Current Report on Form 8-K.  For the avoidance of doubt, the Holder shall remain entitled to convert this Note during the 20-day period commencing on the date of such notice through the effective date of the event triggering such notice except as may otherwise be expressly set forth herein.</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(g)          </w:t>
      </w:r>
      <w:r>
        <w:rPr>
          <w:rFonts w:ascii="Times New Roman;Times;serif" w:hAnsi="Times New Roman;Times;serif"/>
          <w:color w:val="000000"/>
          <w:sz w:val="20"/>
          <w:u w:val="single"/>
        </w:rPr>
        <w:t>Fundamental Transaction</w:t>
      </w:r>
      <w:r>
        <w:rPr>
          <w:rFonts w:ascii="Times New Roman;Times;serif" w:hAnsi="Times New Roman;Times;serif"/>
          <w:color w:val="000000"/>
          <w:sz w:val="20"/>
        </w:rPr>
        <w:t>. If, at any time while this Note is outstanding, (i) the Company, directly or indirectly, in one or more related transactions effects any merger or consolidation of the Company with or into another Person, (ii) the Company (or any subsidiary), directly or indirectly effects any sale, lease, license, assignment, transfer, conveyance or other disposition of all or substantially all of its assets in one or a series of related transactions, except to the extent subject to an adjustment pursuant to Section 5, (iii) any, direct or indirect, purchase offer, tender offer or exchange offer (whether by the Company or another Person) is completed pursuant to which holders of Ordinary Shares are permitted to sell, tender or exchange their shares for other securities, cash or property and has been accepted by the holders of more than 50% of the outstanding Ordinary Shares or more than 50% of the voting power of the common equity of the Company, (iv) the Company, directly or indirectly, in one or more related transactions effects any reclassification, reorganization or recapitalization of the Ordinary Shares or any compulsory share exchange pursuant to which the Ordinary Shares are effectively converted into or exchanged for other securities, cash or property, or (v) the Company, directly or indirectly, in one or more related transactions consummates a share purchase agreement or other business combination (including, without limitation, a reorganization, recapitalization, spin-off, merger or scheme of arrangement) with another Person or group of Persons whereby such other Person or group acquires more than 50% of the outstanding Ordinary Shares or more than 50% of the voting power of the Ordinary Shares of the Company (each a “</w:t>
      </w:r>
      <w:r>
        <w:rPr>
          <w:rFonts w:ascii="Times New Roman;Times;serif" w:hAnsi="Times New Roman;Times;serif"/>
          <w:color w:val="000000"/>
          <w:sz w:val="20"/>
          <w:u w:val="single"/>
        </w:rPr>
        <w:t>Fundamental Transaction</w:t>
      </w:r>
      <w:r>
        <w:rPr>
          <w:rFonts w:ascii="Times New Roman;Times;serif" w:hAnsi="Times New Roman;Times;serif"/>
          <w:color w:val="000000"/>
          <w:sz w:val="20"/>
        </w:rPr>
        <w:t>”), then, upon any subsequent conversion of this Note, the Holder shall have the right to receive, for each Conversion Share that would have been issuable upon such conversion immediately prior to the occurrence of such Fundamental Transaction, at the option of the Holder (without regard to any limitation in Section 4(d) on the conversion of this Note), the number of Ordinary Shares of the successor or acquiring corporation or of the Company, if it is the surviving corporation, and any additional consideration (the “</w:t>
      </w:r>
      <w:r>
        <w:rPr>
          <w:rFonts w:ascii="Times New Roman;Times;serif" w:hAnsi="Times New Roman;Times;serif"/>
          <w:color w:val="000000"/>
          <w:sz w:val="20"/>
          <w:u w:val="single"/>
        </w:rPr>
        <w:t>Alternate Consideration</w:t>
      </w:r>
      <w:r>
        <w:rPr>
          <w:rFonts w:ascii="Times New Roman;Times;serif" w:hAnsi="Times New Roman;Times;serif"/>
          <w:color w:val="000000"/>
          <w:sz w:val="20"/>
        </w:rPr>
        <w:t>”) receivable as a result of such Fundamental Transaction by a holder of the number of Ordinary Shares for which this Note is convertible immediately prior to such Fundamental Transaction (without regard to any limitation in Section 4(d) on the conversion of this Note). For purposes of any such conversion, the determination of the Conversion Price shall be appropriately adjusted to apply to such Alternate Consideration based on the amount of Alternate Consideration issuable in respect of one Ordinary Share in such Fundamental Transaction, and the Company shall apportion the Conversion Price among the Alternate Consideration in a reasonable manner reflecting the relative value of any different components of the Alternate Consideration. If holders of Ordinary Shares are given any choice as to the securities, cash or property to be received in a Fundamental Transaction, then the Holder shall be given the same choice as to the Alternate Consideration it receives upon any conversion of this Note following such Fundamental Transaction. The Company shall cause any successor entity in a Fundamental Transaction in which the Company is not the survivor (the “</w:t>
      </w:r>
      <w:r>
        <w:rPr>
          <w:rFonts w:ascii="Times New Roman;Times;serif" w:hAnsi="Times New Roman;Times;serif"/>
          <w:color w:val="000000"/>
          <w:sz w:val="20"/>
          <w:u w:val="single"/>
        </w:rPr>
        <w:t>Successor Entity</w:t>
      </w:r>
      <w:r>
        <w:rPr>
          <w:rFonts w:ascii="Times New Roman;Times;serif" w:hAnsi="Times New Roman;Times;serif"/>
          <w:color w:val="000000"/>
          <w:sz w:val="20"/>
        </w:rPr>
        <w:t>”) to assume in writing all of the obligations of the Company under this Note in accordance with the provisions of this Section 5(h) pursuant to written agreements in form and substance reasonably satisfactory to the Holder and approved by the Holder (without unreasonable delay) prior to such Fundamental Transaction and shall, at the option of the Holder, deliver to the Holder in exchange for this Note a security of the Successor Entity evidenced by a written instrument substantially similar in form and substance to this Note which is convertible for a corresponding number of shares of capital stock of such Successor Entity (or its parent entity) equivalent to the Ordinary Shares acquirable and receivable upon conversion of this Note (without regard to any limitations on the conversion of this Note) prior to such Fundamental Transaction, and with an conversion price which applies the conversion price hereunder to such shares of capital stock (but taking into account the relative value of the Ordinary Shares pursuant to such Fundamental Transaction and the value of such shares of capital stock, such number of shares of capital stock and such conversion price being for the purpose of protecting the economic value of this Note immediately prior to the consummation of such Fundamental Transaction), and which is reasonably satisfactory in form and substance to the Holder. Upon the occurrence of any such Fundamental Transaction, the Successor Entity shall be added to the term “Company” under this Note (so that from and after the occurrence or consummation of such Fundamental Transaction, each and every provision of this Note and the other Transaction Documents referring to the “Company” shall refer instead to each of the Company and the Successor Entity or Successor Entities, jointly and severally), and the Successor Entity or Successor Entities, jointly and severally with the Company, may exercise every right and power of the Company prior thereto and the Successor Entity or Successor Entities shall assume all of the obligations of the Company prior thereto under this Note with the same effect as if the Company and such Successor Entity or Successor Entities, jointly and severally, had been named as the Company herein. Notwithstanding anything to the contrary herein, the Company and Holder acknowledge and agree that the transactions contemplated by that certain Purchase Agreement (the “Oratech Purchase Agreement”), dated as of January 12, 2026, by and among the Company, Oratech Pharma, Inc. and Oramed Pharmaceuticals, Inc. (the “Current Transaction”) and related transaction documentation, including the execution of the Oratech Purchase Agreement and documentation related thereto, shall not constitute, and shall not be deemed to constitute, a Fundamental Transaction for any purpose under this Note, and no rights, remedies, or obligations that would otherwise arise upon the occurrence of a Fundamental Transaction shall be triggered by or in connection with the consummation of the Current Transaction.  Additionally, notwithstanding anything to the contrary herein, no transaction, action, election, or arrangement initiated, proposed, directed, or otherwise caused by, or at the direction of, the Majority Holders shall constitute, or be deemed to constitute, a Fundamental Transaction, and no Fundamental Transaction shall be deemed to have occurred solely as a result of any voluntary act or omission of the Majority Holders. For the avoidance of doubt, a Fundamental Transaction shall only be deemed to occur upon the consummation of a transaction undertaken by the Company or a third party independent of the Majority Holders, and not as a result of any designation, characterization, or contractual right exercised by the Majority Holders.</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13</w:t>
      </w:r>
    </w:p>
    <w:p>
      <w:pPr>
        <w:pStyle w:val="HorizontalLine"/>
        <w:pBdr>
          <w:bottom w:val="single" w:sz="12" w:space="0" w:color="808080"/>
        </w:pBdr>
        <w:bidi w:val="0"/>
        <w:spacing w:before="200" w:after="200"/>
        <w:jc w:val="left"/>
        <w:rPr/>
      </w:pPr>
      <w:r>
        <w:rPr/>
      </w:r>
    </w:p>
    <w:p>
      <w:pPr>
        <w:pStyle w:val="TextBody"/>
        <w:bidi w:val="0"/>
        <w:spacing w:lineRule="auto" w:line="300"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(h)          </w:t>
      </w:r>
      <w:r>
        <w:rPr>
          <w:rFonts w:ascii="Times New Roman;Times;serif" w:hAnsi="Times New Roman;Times;serif"/>
          <w:color w:val="000000"/>
          <w:sz w:val="20"/>
          <w:u w:val="single"/>
        </w:rPr>
        <w:t>Calculations</w:t>
      </w:r>
      <w:r>
        <w:rPr>
          <w:rFonts w:ascii="Times New Roman;Times;serif" w:hAnsi="Times New Roman;Times;serif"/>
          <w:color w:val="000000"/>
          <w:sz w:val="20"/>
        </w:rPr>
        <w:t>.  All calculations under this Section 5 shall be made to the nearest cent or the nearest 1/100th of a share, as the case may be.  For purposes of this Section 5, the number of Ordinary Shares deemed to be issued and outstanding as of a given date shall be the sum of the number of Ordinary Shares (excluding any treasury shares of the Company) issued and outstanding.</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hanging="0"/>
        <w:jc w:val="both"/>
        <w:rPr>
          <w:rFonts w:ascii="Times New Roman;Times;serif" w:hAnsi="Times New Roman;Times;serif"/>
          <w:color w:val="000000"/>
          <w:sz w:val="20"/>
        </w:rPr>
      </w:pPr>
      <w:r>
        <w:rPr>
          <w:rFonts w:ascii="Times New Roman;Times;serif" w:hAnsi="Times New Roman;Times;serif"/>
          <w:color w:val="000000"/>
          <w:sz w:val="20"/>
          <w:u w:val="single"/>
        </w:rPr>
        <w:t>Section 6.</w:t>
      </w:r>
      <w:r>
        <w:rPr>
          <w:rFonts w:ascii="Times New Roman;Times;serif" w:hAnsi="Times New Roman;Times;serif"/>
          <w:color w:val="000000"/>
          <w:sz w:val="20"/>
        </w:rPr>
        <w:t>          </w:t>
      </w:r>
      <w:r>
        <w:rPr>
          <w:rFonts w:ascii="Times New Roman;Times;serif" w:hAnsi="Times New Roman;Times;serif"/>
          <w:color w:val="000000"/>
          <w:sz w:val="20"/>
          <w:u w:val="single"/>
        </w:rPr>
        <w:t>Reserved</w:t>
      </w:r>
      <w:r>
        <w:rPr>
          <w:rFonts w:ascii="Times New Roman;Times;serif" w:hAnsi="Times New Roman;Times;serif"/>
          <w:color w:val="000000"/>
          <w:sz w:val="20"/>
        </w:rPr>
        <w:t>.</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hanging="0"/>
        <w:jc w:val="both"/>
        <w:rPr>
          <w:rFonts w:ascii="Times New Roman;Times;serif" w:hAnsi="Times New Roman;Times;serif"/>
          <w:color w:val="000000"/>
          <w:sz w:val="20"/>
        </w:rPr>
      </w:pPr>
      <w:r>
        <w:rPr>
          <w:rFonts w:ascii="Times New Roman;Times;serif" w:hAnsi="Times New Roman;Times;serif"/>
          <w:color w:val="000000"/>
          <w:sz w:val="20"/>
          <w:u w:val="single"/>
        </w:rPr>
        <w:t>Section 7.</w:t>
      </w:r>
      <w:r>
        <w:rPr>
          <w:rFonts w:ascii="Times New Roman;Times;serif" w:hAnsi="Times New Roman;Times;serif"/>
          <w:color w:val="000000"/>
          <w:sz w:val="20"/>
        </w:rPr>
        <w:t>          </w:t>
      </w:r>
      <w:r>
        <w:rPr>
          <w:rFonts w:ascii="Times New Roman;Times;serif" w:hAnsi="Times New Roman;Times;serif"/>
          <w:color w:val="000000"/>
          <w:sz w:val="20"/>
          <w:u w:val="single"/>
        </w:rPr>
        <w:t>Covenants</w:t>
      </w:r>
      <w:r>
        <w:rPr>
          <w:rFonts w:ascii="Times New Roman;Times;serif" w:hAnsi="Times New Roman;Times;serif"/>
          <w:color w:val="000000"/>
          <w:sz w:val="20"/>
        </w:rPr>
        <w:t>.</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630" w:right="0" w:firstLine="810"/>
        <w:jc w:val="both"/>
        <w:rPr>
          <w:rFonts w:ascii="Times New Roman;Times;serif" w:hAnsi="Times New Roman;Times;serif"/>
          <w:color w:val="000000"/>
          <w:sz w:val="20"/>
        </w:rPr>
      </w:pPr>
      <w:r>
        <w:rPr>
          <w:rFonts w:ascii="Times New Roman;Times;serif" w:hAnsi="Times New Roman;Times;serif"/>
          <w:color w:val="000000"/>
          <w:sz w:val="20"/>
        </w:rPr>
        <w:t>(a)          </w:t>
      </w:r>
      <w:r>
        <w:rPr>
          <w:rFonts w:ascii="Times New Roman;Times;serif" w:hAnsi="Times New Roman;Times;serif"/>
          <w:color w:val="000000"/>
          <w:sz w:val="20"/>
          <w:u w:val="single"/>
        </w:rPr>
        <w:t>Negative Covenants</w:t>
      </w:r>
      <w:r>
        <w:rPr>
          <w:rFonts w:ascii="Times New Roman;Times;serif" w:hAnsi="Times New Roman;Times;serif"/>
          <w:color w:val="000000"/>
          <w:sz w:val="20"/>
        </w:rPr>
        <w:t>. As long as any portion of this Note remains outstanding, except with the consent of the Majority Holders, the Company shall not, and shall not permit any of the Subsidiaries to, directly or indirectly:</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1440" w:right="0" w:firstLine="720"/>
        <w:jc w:val="both"/>
        <w:rPr>
          <w:rFonts w:ascii="Times New Roman;Times;serif" w:hAnsi="Times New Roman;Times;serif"/>
          <w:color w:val="000000"/>
          <w:sz w:val="20"/>
        </w:rPr>
      </w:pPr>
      <w:r>
        <w:rPr>
          <w:rFonts w:ascii="Times New Roman;Times;serif" w:hAnsi="Times New Roman;Times;serif"/>
          <w:color w:val="000000"/>
          <w:sz w:val="20"/>
        </w:rPr>
        <w:t>(i)          other than Permitted Indebtedness, enter into, create, incur, assume, guarantee or suffer to exist any Indebtedness of any kind, including, but not limited to, a guarantee, on or with respect to any of its property or assets now owned or hereafter acquired or any interest therein or any income or profits therefrom;</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1440" w:right="0" w:firstLine="720"/>
        <w:jc w:val="both"/>
        <w:rPr>
          <w:rFonts w:ascii="Times New Roman;Times;serif" w:hAnsi="Times New Roman;Times;serif"/>
          <w:color w:val="000000"/>
          <w:sz w:val="20"/>
        </w:rPr>
      </w:pPr>
      <w:r>
        <w:rPr>
          <w:rFonts w:ascii="Times New Roman;Times;serif" w:hAnsi="Times New Roman;Times;serif"/>
          <w:color w:val="000000"/>
          <w:sz w:val="20"/>
        </w:rPr>
        <w:t>(ii)          other than Permitted Liens, enter into, create, incur, assume or suffer to exist any Liens of any kind, on or with respect to any of its property or assets now owned or hereafter acquired or any interest therein or any income or profits therefrom;</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1440" w:right="0" w:firstLine="720"/>
        <w:jc w:val="both"/>
        <w:rPr>
          <w:rFonts w:ascii="Times New Roman;Times;serif" w:hAnsi="Times New Roman;Times;serif"/>
          <w:color w:val="000000"/>
          <w:sz w:val="20"/>
        </w:rPr>
      </w:pPr>
      <w:r>
        <w:rPr>
          <w:rFonts w:ascii="Times New Roman;Times;serif" w:hAnsi="Times New Roman;Times;serif"/>
          <w:color w:val="000000"/>
          <w:sz w:val="20"/>
        </w:rPr>
        <w:t>(iii)          amend its governing documents, including, without limitation, its memorandum and articles of association, in any manner that materially and adversely affects any rights of the Holder;</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1440" w:right="0" w:firstLine="720"/>
        <w:jc w:val="both"/>
        <w:rPr>
          <w:rFonts w:ascii="Times New Roman;Times;serif" w:hAnsi="Times New Roman;Times;serif"/>
          <w:color w:val="000000"/>
          <w:sz w:val="20"/>
        </w:rPr>
      </w:pPr>
      <w:r>
        <w:rPr>
          <w:rFonts w:ascii="Times New Roman;Times;serif" w:hAnsi="Times New Roman;Times;serif"/>
          <w:color w:val="000000"/>
          <w:sz w:val="20"/>
        </w:rPr>
        <w:t xml:space="preserve">(iv)          repay, repurchase or offer to repay, repurchase or otherwise acquire more than a </w:t>
      </w:r>
      <w:r>
        <w:rPr>
          <w:rFonts w:ascii="Times New Roman;Times;serif" w:hAnsi="Times New Roman;Times;serif"/>
          <w:color w:val="000000"/>
          <w:sz w:val="20"/>
          <w:u w:val="single"/>
        </w:rPr>
        <w:t>de</w:t>
      </w:r>
      <w:r>
        <w:rPr>
          <w:rFonts w:ascii="Times New Roman;Times;serif" w:hAnsi="Times New Roman;Times;serif"/>
          <w:color w:val="000000"/>
          <w:sz w:val="20"/>
        </w:rPr>
        <w:t> </w:t>
      </w:r>
      <w:r>
        <w:rPr>
          <w:rFonts w:ascii="Times New Roman;Times;serif" w:hAnsi="Times New Roman;Times;serif"/>
          <w:color w:val="000000"/>
          <w:sz w:val="20"/>
          <w:u w:val="single"/>
        </w:rPr>
        <w:t>minimis</w:t>
      </w:r>
      <w:r>
        <w:rPr>
          <w:rFonts w:ascii="Times New Roman;Times;serif" w:hAnsi="Times New Roman;Times;serif"/>
          <w:color w:val="000000"/>
          <w:sz w:val="20"/>
        </w:rPr>
        <w:t xml:space="preserve"> number of Ordinary Shares or Ordinary Share Equivalents other than as to the Conversion Shares or the Warrant Shares as permitted or required under the Transaction Documents;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1440" w:right="0" w:firstLine="720"/>
        <w:jc w:val="both"/>
        <w:rPr>
          <w:rFonts w:ascii="Times New Roman;Times;serif" w:hAnsi="Times New Roman;Times;serif"/>
          <w:color w:val="000000"/>
          <w:sz w:val="20"/>
        </w:rPr>
      </w:pPr>
      <w:r>
        <w:rPr>
          <w:rFonts w:ascii="Times New Roman;Times;serif" w:hAnsi="Times New Roman;Times;serif"/>
          <w:color w:val="000000"/>
          <w:sz w:val="20"/>
        </w:rPr>
        <w:t xml:space="preserve">(v)          repay, repurchase or offer to repay, repurchase or otherwise acquire any Indebtedness, other than (i) the Notes, (ii) any Additional Notes, (iii) the Existing Notes, and (iv) regularly scheduled principal and interest payments with respect to other Indebtedness outstanding on the Original Issue Date, as such terms are in effect as of the Original Issue Date, in each case of </w:t>
      </w:r>
      <w:r>
        <w:rPr>
          <w:rFonts w:ascii="Times New Roman;Times;serif" w:hAnsi="Times New Roman;Times;serif"/>
          <w:color w:val="000000"/>
          <w:sz w:val="20"/>
          <w:u w:val="single"/>
        </w:rPr>
        <w:t>clauses (i</w:t>
      </w:r>
      <w:r>
        <w:rPr>
          <w:rFonts w:ascii="Times New Roman;Times;serif" w:hAnsi="Times New Roman;Times;serif"/>
          <w:color w:val="000000"/>
          <w:sz w:val="20"/>
        </w:rPr>
        <w:t>) through (</w:t>
      </w:r>
      <w:r>
        <w:rPr>
          <w:rFonts w:ascii="Times New Roman;Times;serif" w:hAnsi="Times New Roman;Times;serif"/>
          <w:color w:val="000000"/>
          <w:sz w:val="20"/>
          <w:u w:val="single"/>
        </w:rPr>
        <w:t>iv</w:t>
      </w:r>
      <w:r>
        <w:rPr>
          <w:rFonts w:ascii="Times New Roman;Times;serif" w:hAnsi="Times New Roman;Times;serif"/>
          <w:color w:val="000000"/>
          <w:sz w:val="20"/>
        </w:rPr>
        <w:t xml:space="preserve">), </w:t>
      </w:r>
      <w:r>
        <w:rPr>
          <w:rFonts w:ascii="Times New Roman;Times;serif" w:hAnsi="Times New Roman;Times;serif"/>
          <w:color w:val="000000"/>
          <w:sz w:val="20"/>
          <w:u w:val="single"/>
        </w:rPr>
        <w:t>provided</w:t>
      </w:r>
      <w:r>
        <w:rPr>
          <w:rFonts w:ascii="Times New Roman;Times;serif" w:hAnsi="Times New Roman;Times;serif"/>
          <w:color w:val="000000"/>
          <w:sz w:val="20"/>
        </w:rPr>
        <w:t> </w:t>
      </w:r>
      <w:r>
        <w:rPr>
          <w:rFonts w:ascii="Times New Roman;Times;serif" w:hAnsi="Times New Roman;Times;serif"/>
          <w:color w:val="000000"/>
          <w:sz w:val="20"/>
          <w:u w:val="single"/>
        </w:rPr>
        <w:t>that</w:t>
      </w:r>
      <w:r>
        <w:rPr>
          <w:rFonts w:ascii="Times New Roman;Times;serif" w:hAnsi="Times New Roman;Times;serif"/>
          <w:color w:val="000000"/>
          <w:sz w:val="20"/>
        </w:rPr>
        <w:t xml:space="preserve"> such payments shall not be permitted if, at such time, or after giving effect to such payment, any Event of Default exist or occur;</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1440" w:right="0" w:firstLine="720"/>
        <w:jc w:val="both"/>
        <w:rPr>
          <w:rFonts w:ascii="Times New Roman;Times;serif" w:hAnsi="Times New Roman;Times;serif"/>
          <w:color w:val="000000"/>
          <w:sz w:val="20"/>
        </w:rPr>
      </w:pPr>
      <w:r>
        <w:rPr>
          <w:rFonts w:ascii="Times New Roman;Times;serif" w:hAnsi="Times New Roman;Times;serif"/>
          <w:color w:val="000000"/>
          <w:sz w:val="20"/>
        </w:rPr>
        <w:t>(vi)          pay cash dividends or distributions on any equity securities of the Company;</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1440" w:right="0" w:firstLine="720"/>
        <w:jc w:val="both"/>
        <w:rPr>
          <w:rFonts w:ascii="Times New Roman;Times;serif" w:hAnsi="Times New Roman;Times;serif"/>
          <w:color w:val="000000"/>
          <w:sz w:val="20"/>
        </w:rPr>
      </w:pPr>
      <w:r>
        <w:rPr>
          <w:rFonts w:ascii="Times New Roman;Times;serif" w:hAnsi="Times New Roman;Times;serif"/>
          <w:color w:val="000000"/>
          <w:sz w:val="20"/>
        </w:rPr>
        <w:t>(vii)          enter into any transaction with any Affiliate of the Company which would be required to be disclosed in any public filing with the Commission, unless such transaction is made on an arm’s-length basis and expressly approved by a majority of the disinterested directors of the Company (even if less than a quorum otherwise required for board approval); or</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1440" w:right="0" w:firstLine="720"/>
        <w:jc w:val="both"/>
        <w:rPr>
          <w:rFonts w:ascii="Times New Roman;Times;serif" w:hAnsi="Times New Roman;Times;serif"/>
          <w:color w:val="000000"/>
          <w:sz w:val="20"/>
        </w:rPr>
      </w:pPr>
      <w:r>
        <w:rPr>
          <w:rFonts w:ascii="Times New Roman;Times;serif" w:hAnsi="Times New Roman;Times;serif"/>
          <w:color w:val="000000"/>
          <w:sz w:val="20"/>
        </w:rPr>
        <w:t>(viii)          enter into any agreement with respect to any of the foregoing.</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(b)          </w:t>
      </w:r>
      <w:r>
        <w:rPr>
          <w:rFonts w:ascii="Times New Roman;Times;serif" w:hAnsi="Times New Roman;Times;serif"/>
          <w:color w:val="000000"/>
          <w:sz w:val="20"/>
          <w:u w:val="single"/>
        </w:rPr>
        <w:t>Affirmative Covenants</w:t>
      </w:r>
      <w:r>
        <w:rPr>
          <w:rFonts w:ascii="Times New Roman;Times;serif" w:hAnsi="Times New Roman;Times;serif"/>
          <w:color w:val="000000"/>
          <w:sz w:val="20"/>
        </w:rPr>
        <w:t>. As long as any portion of this Note remains outstanding, except with the consent of the Majority Holders, the Company shall, and shall cause each of its Subsidiaries to:</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1440" w:right="0" w:firstLine="720"/>
        <w:jc w:val="both"/>
        <w:rPr>
          <w:rFonts w:ascii="Times New Roman;Times;serif" w:hAnsi="Times New Roman;Times;serif"/>
          <w:color w:val="000000"/>
          <w:sz w:val="20"/>
        </w:rPr>
      </w:pPr>
      <w:r>
        <w:rPr>
          <w:rFonts w:ascii="Times New Roman;Times;serif" w:hAnsi="Times New Roman;Times;serif"/>
          <w:color w:val="000000"/>
          <w:sz w:val="20"/>
        </w:rPr>
        <w:t>(i)          preserve and maintain its legal existence, rights, franchises and privileges in the jurisdiction of its incorporation, and qualify and remain qualified as a foreign business entity in each jurisdiction in which qualification is necessary in view of its business and operations or the ownership of its properties and where failure maintain or qualify could reasonably be expected to have a Material Adverse Effect;</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14</w:t>
      </w:r>
    </w:p>
    <w:p>
      <w:pPr>
        <w:pStyle w:val="HorizontalLine"/>
        <w:pBdr>
          <w:bottom w:val="single" w:sz="12" w:space="0" w:color="808080"/>
        </w:pBdr>
        <w:bidi w:val="0"/>
        <w:spacing w:before="200" w:after="200"/>
        <w:jc w:val="left"/>
        <w:rPr/>
      </w:pPr>
      <w:r>
        <w:rPr/>
      </w:r>
    </w:p>
    <w:p>
      <w:pPr>
        <w:pStyle w:val="TextBody"/>
        <w:bidi w:val="0"/>
        <w:spacing w:lineRule="auto" w:line="300" w:before="0" w:after="0"/>
        <w:ind w:left="1440" w:right="0" w:firstLine="720"/>
        <w:jc w:val="both"/>
        <w:rPr>
          <w:rFonts w:ascii="Times New Roman;Times;serif" w:hAnsi="Times New Roman;Times;serif"/>
          <w:color w:val="000000"/>
          <w:sz w:val="20"/>
        </w:rPr>
      </w:pPr>
      <w:r>
        <w:rPr>
          <w:rFonts w:ascii="Times New Roman;Times;serif" w:hAnsi="Times New Roman;Times;serif"/>
          <w:color w:val="000000"/>
          <w:sz w:val="20"/>
        </w:rPr>
        <w:t>(ii)          provide to Agent, promptly upon becoming aware thereof (and in any event within three (3) days after the occurrence thereof), a notice of each Event of Default known to an executive officer of the Company, together with a statement of such executive officer setting forth the details of such Event of Default and the actions which the Company has taken and proposes to take with respect thereto;</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1440" w:right="0" w:firstLine="720"/>
        <w:jc w:val="both"/>
        <w:rPr>
          <w:rFonts w:ascii="Times New Roman;Times;serif" w:hAnsi="Times New Roman;Times;serif"/>
          <w:color w:val="000000"/>
          <w:sz w:val="20"/>
        </w:rPr>
      </w:pPr>
      <w:r>
        <w:rPr>
          <w:rFonts w:ascii="Times New Roman;Times;serif" w:hAnsi="Times New Roman;Times;serif"/>
          <w:color w:val="000000"/>
          <w:sz w:val="20"/>
        </w:rPr>
        <w:t>(iii)          (a) pay and discharge as the same shall become due and payable: (i) all tax liabilities, assessments and governmental charges or levies upon it or its properties or assets, unless the same are being contested in good faith by appropriate proceedings diligently conducted (which proceedings have the effect of preventing the forfeiture or sale of the property or assets subject to any such Lien) and adequate reserves in accordance with GAAP are being maintained by the Company or such Subsidiary; (ii) all lawful claims which, if unpaid, would by law become a Lien upon its property, unless the same are being contested in good faith by appropriate proceedings diligently conducted (which proceedings have the effect of preventing the forfeiture or sale of the property or assets subject to any such Lien) and adequate reserves in accordance with GAAP are being maintained by the Company or such Subsidiary; and (iii) all Indebtedness, as and when due and payable, but subject to the terms of this Note; and (b) timely file all material tax returns required to be filed (subject to any valid extension);</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1440" w:right="0" w:firstLine="720"/>
        <w:jc w:val="both"/>
        <w:rPr>
          <w:rFonts w:ascii="Times New Roman;Times;serif" w:hAnsi="Times New Roman;Times;serif"/>
          <w:color w:val="000000"/>
          <w:sz w:val="20"/>
        </w:rPr>
      </w:pPr>
      <w:r>
        <w:rPr>
          <w:rFonts w:ascii="Times New Roman;Times;serif" w:hAnsi="Times New Roman;Times;serif"/>
          <w:color w:val="000000"/>
          <w:sz w:val="20"/>
        </w:rPr>
        <w:t>(iv)          (a) maintain, preserve and protect all of its material properties and equipment necessary in the operation of its business in good working order and condition, ordinary wear and tear excepted; and (b) make all necessary repairs thereto and renewals and replacements thereof except where the failure to do so could not reasonably be expected to have a Material Adverse Effect;</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1440" w:right="0" w:firstLine="720"/>
        <w:jc w:val="both"/>
        <w:rPr>
          <w:rFonts w:ascii="Times New Roman;Times;serif" w:hAnsi="Times New Roman;Times;serif"/>
          <w:color w:val="000000"/>
          <w:sz w:val="20"/>
        </w:rPr>
      </w:pPr>
      <w:r>
        <w:rPr>
          <w:rFonts w:ascii="Times New Roman;Times;serif" w:hAnsi="Times New Roman;Times;serif"/>
          <w:color w:val="000000"/>
          <w:sz w:val="20"/>
        </w:rPr>
        <w:t>(v)          comply in all material respects with the requirements of all applicable laws and all orders, writs, injunctions and decrees applicable to it or to its business or property;</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1440" w:right="0" w:firstLine="720"/>
        <w:jc w:val="both"/>
        <w:rPr>
          <w:rFonts w:ascii="Times New Roman;Times;serif" w:hAnsi="Times New Roman;Times;serif"/>
          <w:color w:val="000000"/>
          <w:sz w:val="20"/>
        </w:rPr>
      </w:pPr>
      <w:r>
        <w:rPr>
          <w:rFonts w:ascii="Times New Roman;Times;serif" w:hAnsi="Times New Roman;Times;serif"/>
          <w:color w:val="000000"/>
          <w:sz w:val="20"/>
        </w:rPr>
        <w:t>(vi)          [</w:t>
      </w:r>
      <w:r>
        <w:rPr>
          <w:rFonts w:ascii="Times New Roman;Times;serif" w:hAnsi="Times New Roman;Times;serif"/>
          <w:i/>
          <w:color w:val="000000"/>
          <w:sz w:val="20"/>
        </w:rPr>
        <w:t>reserved</w:t>
      </w:r>
      <w:r>
        <w:rPr>
          <w:rFonts w:ascii="Times New Roman;Times;serif" w:hAnsi="Times New Roman;Times;serif"/>
          <w:color w:val="000000"/>
          <w:sz w:val="20"/>
        </w:rPr>
        <w:t>];</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1440" w:right="0" w:firstLine="720"/>
        <w:jc w:val="both"/>
        <w:rPr>
          <w:rFonts w:ascii="Times New Roman;Times;serif" w:hAnsi="Times New Roman;Times;serif"/>
          <w:color w:val="000000"/>
          <w:sz w:val="20"/>
        </w:rPr>
      </w:pPr>
      <w:r>
        <w:rPr>
          <w:rFonts w:ascii="Times New Roman;Times;serif" w:hAnsi="Times New Roman;Times;serif"/>
          <w:color w:val="000000"/>
          <w:sz w:val="20"/>
        </w:rPr>
        <w:t>(vii)          maintain (a) insurance with financially sound and reputable insurance companies in at least the amounts (and with only those deductibles) customarily maintained, and against such risks as are typically insured against, by Persons of comparable size engaged in the same or similar business as the Company and its Subsidiaries; and (b) all worker’s compensation, employer’s liability insurance or similar insurance as may be required under the laws of any state or jurisdiction in which it may be engaged in business.  On and after the date that is thirty (30) days following the Closing Date, all such insurance policies required pursuant to clause (a) of this Section shall name the Agent as a loss payee (in the case of property or other casualty insurance) and an additional insured (in the case of liability insurance);</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1440" w:right="0" w:firstLine="720"/>
        <w:jc w:val="both"/>
        <w:rPr>
          <w:rFonts w:ascii="Times New Roman;Times;serif" w:hAnsi="Times New Roman;Times;serif"/>
          <w:color w:val="000000"/>
          <w:sz w:val="20"/>
        </w:rPr>
      </w:pPr>
      <w:r>
        <w:rPr>
          <w:rFonts w:ascii="Times New Roman;Times;serif" w:hAnsi="Times New Roman;Times;serif"/>
          <w:color w:val="000000"/>
          <w:sz w:val="20"/>
        </w:rPr>
        <w:t xml:space="preserve">(viii)          cause all payments due under this Note to (a) rank </w:t>
      </w:r>
      <w:r>
        <w:rPr>
          <w:rFonts w:ascii="Times New Roman;Times;serif" w:hAnsi="Times New Roman;Times;serif"/>
          <w:i/>
          <w:color w:val="000000"/>
          <w:sz w:val="20"/>
        </w:rPr>
        <w:t xml:space="preserve">pari passu </w:t>
      </w:r>
      <w:r>
        <w:rPr>
          <w:rFonts w:ascii="Times New Roman;Times;serif" w:hAnsi="Times New Roman;Times;serif"/>
          <w:color w:val="000000"/>
          <w:sz w:val="20"/>
        </w:rPr>
        <w:t>with each of (x) all other Notes, (y) all Additional Notes, and (z) all Existing Notes, and (b) be senior to all other Indebtedness of the Company and its Subsidiaries, subject to Permitted Liens.</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15</w:t>
      </w:r>
    </w:p>
    <w:p>
      <w:pPr>
        <w:pStyle w:val="HorizontalLine"/>
        <w:pBdr>
          <w:bottom w:val="single" w:sz="12" w:space="0" w:color="808080"/>
        </w:pBdr>
        <w:bidi w:val="0"/>
        <w:spacing w:before="200" w:after="200"/>
        <w:jc w:val="left"/>
        <w:rPr/>
      </w:pPr>
      <w:r>
        <w:rPr/>
      </w:r>
    </w:p>
    <w:p>
      <w:pPr>
        <w:pStyle w:val="TextBody"/>
        <w:bidi w:val="0"/>
        <w:spacing w:lineRule="auto" w:line="300" w:before="0" w:after="0"/>
        <w:ind w:left="0" w:right="0" w:firstLine="710"/>
        <w:jc w:val="both"/>
        <w:rPr>
          <w:rFonts w:ascii="Times New Roman;Times;serif" w:hAnsi="Times New Roman;Times;serif"/>
          <w:color w:val="000000"/>
          <w:sz w:val="20"/>
        </w:rPr>
      </w:pPr>
      <w:r>
        <w:rPr>
          <w:rFonts w:ascii="Times New Roman;Times;serif" w:hAnsi="Times New Roman;Times;serif"/>
          <w:color w:val="000000"/>
          <w:sz w:val="20"/>
          <w:u w:val="single"/>
        </w:rPr>
        <w:t>Section 8</w:t>
      </w:r>
      <w:r>
        <w:rPr>
          <w:rFonts w:ascii="Times New Roman;Times;serif" w:hAnsi="Times New Roman;Times;serif"/>
          <w:color w:val="000000"/>
          <w:sz w:val="20"/>
        </w:rPr>
        <w:t>.          </w:t>
      </w:r>
      <w:r>
        <w:rPr>
          <w:rFonts w:ascii="Times New Roman;Times;serif" w:hAnsi="Times New Roman;Times;serif"/>
          <w:color w:val="000000"/>
          <w:sz w:val="20"/>
          <w:u w:val="single"/>
        </w:rPr>
        <w:t>Events of Default</w:t>
      </w:r>
      <w:r>
        <w:rPr>
          <w:rFonts w:ascii="Times New Roman;Times;serif" w:hAnsi="Times New Roman;Times;serif"/>
          <w:color w:val="000000"/>
          <w:sz w:val="20"/>
        </w:rPr>
        <w:t>.</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(a)          “</w:t>
      </w:r>
      <w:r>
        <w:rPr>
          <w:rFonts w:ascii="Times New Roman;Times;serif" w:hAnsi="Times New Roman;Times;serif"/>
          <w:color w:val="000000"/>
          <w:sz w:val="20"/>
          <w:u w:val="single"/>
        </w:rPr>
        <w:t>Event of Default</w:t>
      </w:r>
      <w:r>
        <w:rPr>
          <w:rFonts w:ascii="Times New Roman;Times;serif" w:hAnsi="Times New Roman;Times;serif"/>
          <w:color w:val="000000"/>
          <w:sz w:val="20"/>
        </w:rPr>
        <w:t>” means, wherever used herein, any of the following events (whatever the reason for such event and whether such event shall be voluntary or involuntary or effected by operation of law or pursuant to any judgment, decree or order of any court, or any order, rule or regulation of any administrative or governmental body):</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1440" w:right="0" w:firstLine="720"/>
        <w:jc w:val="both"/>
        <w:rPr>
          <w:rFonts w:ascii="Times New Roman;Times;serif" w:hAnsi="Times New Roman;Times;serif"/>
          <w:color w:val="000000"/>
          <w:sz w:val="20"/>
        </w:rPr>
      </w:pPr>
      <w:r>
        <w:rPr>
          <w:rFonts w:ascii="Times New Roman;Times;serif" w:hAnsi="Times New Roman;Times;serif"/>
          <w:color w:val="000000"/>
          <w:sz w:val="20"/>
        </w:rPr>
        <w:t xml:space="preserve">(i)          any default in the payment of (A) the principal amount of any Note or (B) interest, liquidated damages and other amounts owing to a Holder on any Note, as and when the same shall become due and payable (whether on a Conversion Date or the Maturity Date or by acceleration or otherwise) which default, solely in the case of an interest payment or other default under </w:t>
      </w:r>
      <w:r>
        <w:rPr>
          <w:rFonts w:ascii="Times New Roman;Times;serif" w:hAnsi="Times New Roman;Times;serif"/>
          <w:color w:val="000000"/>
          <w:sz w:val="20"/>
          <w:u w:val="single"/>
        </w:rPr>
        <w:t>clause (B</w:t>
      </w:r>
      <w:r>
        <w:rPr>
          <w:rFonts w:ascii="Times New Roman;Times;serif" w:hAnsi="Times New Roman;Times;serif"/>
          <w:color w:val="000000"/>
          <w:sz w:val="20"/>
        </w:rPr>
        <w:t>) above, is not cured within three (3) Trading Days;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1440" w:right="0" w:firstLine="720"/>
        <w:jc w:val="both"/>
        <w:rPr>
          <w:rFonts w:ascii="Times New Roman;Times;serif" w:hAnsi="Times New Roman;Times;serif"/>
          <w:color w:val="000000"/>
          <w:sz w:val="20"/>
        </w:rPr>
      </w:pPr>
      <w:r>
        <w:rPr>
          <w:rFonts w:ascii="Times New Roman;Times;serif" w:hAnsi="Times New Roman;Times;serif"/>
          <w:color w:val="000000"/>
          <w:sz w:val="20"/>
        </w:rPr>
        <w:t xml:space="preserve">(ii)          the Company shall fail to observe or perform any other covenant or agreement contained in the Notes (other than a breach by the Company of its obligations to deliver Ordinary Shares to the Holder upon conversion, which breach is addressed in </w:t>
      </w:r>
      <w:r>
        <w:rPr>
          <w:rFonts w:ascii="Times New Roman;Times;serif" w:hAnsi="Times New Roman;Times;serif"/>
          <w:color w:val="000000"/>
          <w:sz w:val="20"/>
          <w:u w:val="single"/>
        </w:rPr>
        <w:t>clause (xii</w:t>
      </w:r>
      <w:r>
        <w:rPr>
          <w:rFonts w:ascii="Times New Roman;Times;serif" w:hAnsi="Times New Roman;Times;serif"/>
          <w:color w:val="000000"/>
          <w:sz w:val="20"/>
        </w:rPr>
        <w:t>) below) or in any Transaction Document, which failure is not cured, if possible to cure, within the earlier to occur of (A) ten (10) Trading Days after notice of such failure sent by the Holder or by any other Holder to the Company and (B) twenty (20) Trading Days after the Company has become aware of such failure;</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1440" w:right="0" w:firstLine="720"/>
        <w:jc w:val="both"/>
        <w:rPr>
          <w:rFonts w:ascii="Times New Roman;Times;serif" w:hAnsi="Times New Roman;Times;serif"/>
          <w:color w:val="000000"/>
          <w:sz w:val="20"/>
        </w:rPr>
      </w:pPr>
      <w:r>
        <w:rPr>
          <w:rFonts w:ascii="Times New Roman;Times;serif" w:hAnsi="Times New Roman;Times;serif"/>
          <w:color w:val="000000"/>
          <w:sz w:val="20"/>
        </w:rPr>
        <w:t xml:space="preserve">(iii)          a default or event of default (subject to any grace or cure period provided in the applicable agreement, document or instrument) shall occur under (A) any of the Transaction Documents or (B) any other material agreement, lease, document or instrument to which the Company or any Subsidiary is obligated (and not covered by </w:t>
      </w:r>
      <w:r>
        <w:rPr>
          <w:rFonts w:ascii="Times New Roman;Times;serif" w:hAnsi="Times New Roman;Times;serif"/>
          <w:color w:val="000000"/>
          <w:sz w:val="20"/>
          <w:u w:val="single"/>
        </w:rPr>
        <w:t>clause (vi</w:t>
      </w:r>
      <w:r>
        <w:rPr>
          <w:rFonts w:ascii="Times New Roman;Times;serif" w:hAnsi="Times New Roman;Times;serif"/>
          <w:color w:val="000000"/>
          <w:sz w:val="20"/>
        </w:rPr>
        <w:t>) below);</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1440" w:right="0" w:firstLine="720"/>
        <w:jc w:val="both"/>
        <w:rPr>
          <w:rFonts w:ascii="Times New Roman;Times;serif" w:hAnsi="Times New Roman;Times;serif"/>
          <w:color w:val="000000"/>
          <w:sz w:val="20"/>
        </w:rPr>
      </w:pPr>
      <w:r>
        <w:rPr>
          <w:rFonts w:ascii="Times New Roman;Times;serif" w:hAnsi="Times New Roman;Times;serif"/>
          <w:color w:val="000000"/>
          <w:sz w:val="20"/>
        </w:rPr>
        <w:t>(iv)          any representation or warranty made in this Note, any other Transaction Documents, any written statement pursuant hereto or thereto or any other report, financial statement or certificate made or delivered to the Holder or any other Holder shall be untrue or incorrect in any material respect as of the date when made or deemed made;</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1440" w:right="0" w:firstLine="720"/>
        <w:jc w:val="both"/>
        <w:rPr>
          <w:rFonts w:ascii="Times New Roman;Times;serif" w:hAnsi="Times New Roman;Times;serif"/>
          <w:color w:val="000000"/>
          <w:sz w:val="20"/>
        </w:rPr>
      </w:pPr>
      <w:r>
        <w:rPr>
          <w:rFonts w:ascii="Times New Roman;Times;serif" w:hAnsi="Times New Roman;Times;serif"/>
          <w:color w:val="000000"/>
          <w:sz w:val="20"/>
        </w:rPr>
        <w:t>(v)          the Company or any Subsidiary shall be subject to a Bankruptcy Event;</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1440" w:right="0" w:firstLine="720"/>
        <w:jc w:val="both"/>
        <w:rPr>
          <w:rFonts w:ascii="Times New Roman;Times;serif" w:hAnsi="Times New Roman;Times;serif"/>
          <w:color w:val="000000"/>
          <w:sz w:val="20"/>
        </w:rPr>
      </w:pPr>
      <w:r>
        <w:rPr>
          <w:rFonts w:ascii="Times New Roman;Times;serif" w:hAnsi="Times New Roman;Times;serif"/>
          <w:color w:val="000000"/>
          <w:sz w:val="20"/>
        </w:rPr>
        <w:t>(vi)          the Company or any Subsidiary shall default on any of its obligations under any Indebtedness, that (a) involves an obligation greater than $500,000, whether such Indebtedness now exists or shall hereafter be created, and (b) results in such Indebtedness in excess of $500,000 becoming or being declared due and payable prior to the date on which it would otherwise become due and payable;</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16</w:t>
      </w:r>
    </w:p>
    <w:p>
      <w:pPr>
        <w:pStyle w:val="HorizontalLine"/>
        <w:pBdr>
          <w:bottom w:val="single" w:sz="12" w:space="0" w:color="808080"/>
        </w:pBdr>
        <w:bidi w:val="0"/>
        <w:spacing w:before="200" w:after="200"/>
        <w:jc w:val="left"/>
        <w:rPr/>
      </w:pPr>
      <w:r>
        <w:rPr/>
      </w:r>
    </w:p>
    <w:p>
      <w:pPr>
        <w:pStyle w:val="TextBody"/>
        <w:bidi w:val="0"/>
        <w:spacing w:lineRule="auto" w:line="300" w:before="0" w:after="0"/>
        <w:ind w:left="1440" w:right="0" w:firstLine="720"/>
        <w:jc w:val="both"/>
        <w:rPr>
          <w:rFonts w:ascii="Times New Roman;Times;serif" w:hAnsi="Times New Roman;Times;serif"/>
          <w:color w:val="000000"/>
          <w:sz w:val="20"/>
        </w:rPr>
      </w:pPr>
      <w:r>
        <w:rPr>
          <w:rFonts w:ascii="Times New Roman;Times;serif" w:hAnsi="Times New Roman;Times;serif"/>
          <w:color w:val="000000"/>
          <w:sz w:val="20"/>
        </w:rPr>
        <w:t>(vii)          the Ordinary Shares shall not be eligible for listing or quotation for trading on a Trading Market and shall not be eligible to resume listing or quotation for trading thereon within five (5) Trading Days;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1440" w:right="0" w:firstLine="720"/>
        <w:jc w:val="both"/>
        <w:rPr>
          <w:rFonts w:ascii="Times New Roman;Times;serif" w:hAnsi="Times New Roman;Times;serif"/>
          <w:color w:val="000000"/>
          <w:sz w:val="20"/>
        </w:rPr>
      </w:pPr>
      <w:r>
        <w:rPr>
          <w:rFonts w:ascii="Times New Roman;Times;serif" w:hAnsi="Times New Roman;Times;serif"/>
          <w:color w:val="000000"/>
          <w:sz w:val="20"/>
        </w:rPr>
        <w:t>(viii)          the Company (and all of its Subsidiaries, taken as a whole) shall be a party to any (A) Change of Control Transaction or (B) Fundamental Transaction;</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1440" w:right="0" w:firstLine="720"/>
        <w:jc w:val="both"/>
        <w:rPr>
          <w:rFonts w:ascii="Times New Roman;Times;serif" w:hAnsi="Times New Roman;Times;serif"/>
          <w:color w:val="000000"/>
          <w:sz w:val="20"/>
        </w:rPr>
      </w:pPr>
      <w:r>
        <w:rPr>
          <w:rFonts w:ascii="Times New Roman;Times;serif" w:hAnsi="Times New Roman;Times;serif"/>
          <w:color w:val="000000"/>
          <w:sz w:val="20"/>
        </w:rPr>
        <w:t>(ix)          [</w:t>
      </w:r>
      <w:r>
        <w:rPr>
          <w:rFonts w:ascii="Times New Roman;Times;serif" w:hAnsi="Times New Roman;Times;serif"/>
          <w:i/>
          <w:color w:val="000000"/>
          <w:sz w:val="20"/>
        </w:rPr>
        <w:t>reserved</w:t>
      </w:r>
      <w:r>
        <w:rPr>
          <w:rFonts w:ascii="Times New Roman;Times;serif" w:hAnsi="Times New Roman;Times;serif"/>
          <w:color w:val="000000"/>
          <w:sz w:val="20"/>
        </w:rPr>
        <w:t>];</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1440" w:right="0" w:firstLine="720"/>
        <w:jc w:val="both"/>
        <w:rPr>
          <w:rFonts w:ascii="Times New Roman;Times;serif" w:hAnsi="Times New Roman;Times;serif"/>
          <w:color w:val="000000"/>
          <w:sz w:val="20"/>
        </w:rPr>
      </w:pPr>
      <w:r>
        <w:rPr>
          <w:rFonts w:ascii="Times New Roman;Times;serif" w:hAnsi="Times New Roman;Times;serif"/>
          <w:color w:val="000000"/>
          <w:sz w:val="20"/>
        </w:rPr>
        <w:t>(x)          [</w:t>
      </w:r>
      <w:r>
        <w:rPr>
          <w:rFonts w:ascii="Times New Roman;Times;serif" w:hAnsi="Times New Roman;Times;serif"/>
          <w:i/>
          <w:color w:val="000000"/>
          <w:sz w:val="20"/>
        </w:rPr>
        <w:t>reserved</w:t>
      </w:r>
      <w:r>
        <w:rPr>
          <w:rFonts w:ascii="Times New Roman;Times;serif" w:hAnsi="Times New Roman;Times;serif"/>
          <w:color w:val="000000"/>
          <w:sz w:val="20"/>
        </w:rPr>
        <w:t>];</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1440" w:right="0" w:firstLine="720"/>
        <w:jc w:val="both"/>
        <w:rPr>
          <w:rFonts w:ascii="Times New Roman;Times;serif" w:hAnsi="Times New Roman;Times;serif"/>
          <w:color w:val="000000"/>
          <w:sz w:val="20"/>
        </w:rPr>
      </w:pPr>
      <w:r>
        <w:rPr>
          <w:rFonts w:ascii="Times New Roman;Times;serif" w:hAnsi="Times New Roman;Times;serif"/>
          <w:color w:val="000000"/>
          <w:sz w:val="20"/>
        </w:rPr>
        <w:t>(xi)          the occurrence of any Public Information Failure (as defined in the Purchase Agreement) that remains uncured for at least ten (10) calendar days or any restatement of any of the financial statements included in any Annual Report on Form 10-K or Current Report on Form 8-K of the Company;</w:t>
      </w:r>
    </w:p>
    <w:p>
      <w:pPr>
        <w:pStyle w:val="TextBody"/>
        <w:bidi w:val="0"/>
        <w:spacing w:lineRule="auto" w:line="300" w:before="0" w:after="0"/>
        <w:jc w:val="left"/>
        <w:rPr>
          <w:color w:val="000000"/>
        </w:rPr>
      </w:pPr>
      <w:r>
        <w:rPr>
          <w:color w:val="000000"/>
        </w:rPr>
        <w:t> </w:t>
      </w:r>
    </w:p>
    <w:p>
      <w:pPr>
        <w:pStyle w:val="TextBody"/>
        <w:bidi w:val="0"/>
        <w:spacing w:lineRule="auto" w:line="240" w:before="0" w:after="0"/>
        <w:ind w:left="1440" w:right="0" w:firstLine="720"/>
        <w:jc w:val="both"/>
        <w:rPr>
          <w:rFonts w:ascii="Times New Roman;Times;serif" w:hAnsi="Times New Roman;Times;serif"/>
          <w:color w:val="000000"/>
          <w:sz w:val="20"/>
        </w:rPr>
      </w:pPr>
      <w:r>
        <w:rPr>
          <w:rFonts w:ascii="Times New Roman;Times;serif" w:hAnsi="Times New Roman;Times;serif"/>
          <w:color w:val="000000"/>
          <w:sz w:val="20"/>
        </w:rPr>
        <w:t xml:space="preserve">(xii)          the Company shall fail for any reason to deliver Conversion Shares to a Holder prior to the fifth (5th) Trading Day after a Conversion Date pursuant to </w:t>
      </w:r>
      <w:r>
        <w:rPr>
          <w:rFonts w:ascii="Times New Roman;Times;serif" w:hAnsi="Times New Roman;Times;serif"/>
          <w:color w:val="000000"/>
          <w:sz w:val="20"/>
          <w:u w:val="single"/>
        </w:rPr>
        <w:t>Section 4(c</w:t>
      </w:r>
      <w:r>
        <w:rPr>
          <w:rFonts w:ascii="Times New Roman;Times;serif" w:hAnsi="Times New Roman;Times;serif"/>
          <w:color w:val="000000"/>
          <w:sz w:val="20"/>
        </w:rPr>
        <w:t>) or Exercise Date (as defined in the Warrants), or the Company shall provide at any time notice to the Holder, including by way of public announcement, of the Company’s intention to not honor requests for conversions of any Notes in accordance with the terms hereof;</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1440" w:right="0" w:firstLine="720"/>
        <w:jc w:val="both"/>
        <w:rPr>
          <w:rFonts w:ascii="Times New Roman;Times;serif" w:hAnsi="Times New Roman;Times;serif"/>
          <w:color w:val="000000"/>
          <w:sz w:val="20"/>
        </w:rPr>
      </w:pPr>
      <w:r>
        <w:rPr>
          <w:rFonts w:ascii="Times New Roman;Times;serif" w:hAnsi="Times New Roman;Times;serif"/>
          <w:color w:val="000000"/>
          <w:sz w:val="20"/>
        </w:rPr>
        <w:t>(xiii)          the electronic transfer by the Company of Ordinary Shares through the Depository Trust Company or another established clearing corporation is no longer available or is subject to a “chill”;</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1440" w:right="0" w:firstLine="720"/>
        <w:jc w:val="both"/>
        <w:rPr>
          <w:rFonts w:ascii="Times New Roman;Times;serif" w:hAnsi="Times New Roman;Times;serif"/>
          <w:color w:val="000000"/>
          <w:sz w:val="20"/>
        </w:rPr>
      </w:pPr>
      <w:r>
        <w:rPr>
          <w:rFonts w:ascii="Times New Roman;Times;serif" w:hAnsi="Times New Roman;Times;serif"/>
          <w:color w:val="000000"/>
          <w:sz w:val="20"/>
        </w:rPr>
        <w:t>(xiv)          any final, non-appealable monetary judgment, writ or similar final process shall be entered or filed against the Company, any Subsidiary or any of their respective property or other assets for more than $250,000 (to the extent not covered by insurance for which the carrier has not disclaimed liability), and such judgment, writ or similar final process shall remain unvacated, unsatisfied, unbonded or unstayed for a period of 45 calendar days;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1440" w:right="0" w:firstLine="720"/>
        <w:jc w:val="both"/>
        <w:rPr>
          <w:rFonts w:ascii="Times New Roman;Times;serif" w:hAnsi="Times New Roman;Times;serif"/>
          <w:color w:val="000000"/>
          <w:sz w:val="20"/>
        </w:rPr>
      </w:pPr>
      <w:r>
        <w:rPr>
          <w:rFonts w:ascii="Times New Roman;Times;serif" w:hAnsi="Times New Roman;Times;serif"/>
          <w:color w:val="000000"/>
          <w:sz w:val="20"/>
        </w:rPr>
        <w:t>(xv)          any Security Document shall for any reason (other than solely as a result of any action or inaction by the Secured Parties (as defined in the Security Agreement)) fail or cease to create a valid Lien on any material portion of the Collateral (as defined in the Security Agreement) in favor of the Holder (or, to the extent applicable, the Agent on behalf of the Holders); or any material provision of any Security Document shall at any time for any reason (other than solely as a result of any action or inaction by the Secured Parties (as defined in the Security Agreement)) cease to be valid and binding on or enforceable against the Company, the validity or enforceability thereof shall be contested by the Company, or a proceeding shall be commenced by the Company, or any governmental authority having jurisdiction over the Company, seeking to establish the invalidity or unenforceability thereof;</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17</w:t>
      </w:r>
    </w:p>
    <w:p>
      <w:pPr>
        <w:pStyle w:val="HorizontalLine"/>
        <w:pBdr>
          <w:bottom w:val="single" w:sz="12" w:space="0" w:color="808080"/>
        </w:pBdr>
        <w:bidi w:val="0"/>
        <w:spacing w:before="200" w:after="200"/>
        <w:jc w:val="left"/>
        <w:rPr/>
      </w:pPr>
      <w:r>
        <w:rPr/>
      </w:r>
    </w:p>
    <w:p>
      <w:pPr>
        <w:pStyle w:val="TextBody"/>
        <w:bidi w:val="0"/>
        <w:spacing w:lineRule="auto" w:line="300" w:before="0" w:after="0"/>
        <w:ind w:left="1440" w:right="0" w:firstLine="720"/>
        <w:jc w:val="both"/>
        <w:rPr>
          <w:rFonts w:ascii="Times New Roman;Times;serif" w:hAnsi="Times New Roman;Times;serif"/>
          <w:color w:val="000000"/>
          <w:sz w:val="20"/>
        </w:rPr>
      </w:pPr>
      <w:r>
        <w:rPr>
          <w:rFonts w:ascii="Times New Roman;Times;serif" w:hAnsi="Times New Roman;Times;serif"/>
          <w:color w:val="000000"/>
          <w:sz w:val="20"/>
        </w:rPr>
        <w:t>(xvi)          the occurrence of a Material Adverse Effect; or</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1440" w:right="0" w:firstLine="720"/>
        <w:jc w:val="both"/>
        <w:rPr>
          <w:rFonts w:ascii="Times New Roman;Times;serif" w:hAnsi="Times New Roman;Times;serif"/>
          <w:color w:val="000000"/>
          <w:sz w:val="20"/>
        </w:rPr>
      </w:pPr>
      <w:r>
        <w:rPr>
          <w:rFonts w:ascii="Times New Roman;Times;serif" w:hAnsi="Times New Roman;Times;serif"/>
          <w:color w:val="000000"/>
          <w:sz w:val="20"/>
        </w:rPr>
        <w:t>(xvii)          an Authorized Share Failure occurs and the Company does not obtain the shareholder approval contemplated in Section 4(c)(vi) hereof within the time periods required by such Section.</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810"/>
        <w:jc w:val="both"/>
        <w:rPr>
          <w:rFonts w:ascii="Times New Roman;Times;serif" w:hAnsi="Times New Roman;Times;serif"/>
          <w:color w:val="000000"/>
          <w:sz w:val="20"/>
        </w:rPr>
      </w:pPr>
      <w:r>
        <w:rPr>
          <w:rFonts w:ascii="Times New Roman;Times;serif" w:hAnsi="Times New Roman;Times;serif"/>
          <w:color w:val="000000"/>
          <w:sz w:val="20"/>
        </w:rPr>
        <w:t>(b)          </w:t>
      </w:r>
      <w:r>
        <w:rPr>
          <w:rFonts w:ascii="Times New Roman;Times;serif" w:hAnsi="Times New Roman;Times;serif"/>
          <w:color w:val="000000"/>
          <w:sz w:val="20"/>
          <w:u w:val="single"/>
        </w:rPr>
        <w:t>Remedies Upon Event of Default</w:t>
      </w:r>
      <w:r>
        <w:rPr>
          <w:rFonts w:ascii="Times New Roman;Times;serif" w:hAnsi="Times New Roman;Times;serif"/>
          <w:color w:val="000000"/>
          <w:sz w:val="20"/>
        </w:rPr>
        <w:t xml:space="preserve">. If any Event of Default occurs and is continuing, the outstanding principal amount of this Note plus accrued but unpaid interest, liquidated damages and other amounts owing in respect thereof through the date of acceleration, shall become, at the election of the Majority Holders, immediately due and payable in cash; </w:t>
      </w:r>
      <w:r>
        <w:rPr>
          <w:rFonts w:ascii="Times New Roman;Times;serif" w:hAnsi="Times New Roman;Times;serif"/>
          <w:color w:val="000000"/>
          <w:sz w:val="20"/>
          <w:u w:val="single"/>
        </w:rPr>
        <w:t>provided</w:t>
      </w:r>
      <w:r>
        <w:rPr>
          <w:rFonts w:ascii="Times New Roman;Times;serif" w:hAnsi="Times New Roman;Times;serif"/>
          <w:color w:val="000000"/>
          <w:sz w:val="20"/>
        </w:rPr>
        <w:t> </w:t>
      </w:r>
      <w:r>
        <w:rPr>
          <w:rFonts w:ascii="Times New Roman;Times;serif" w:hAnsi="Times New Roman;Times;serif"/>
          <w:color w:val="000000"/>
          <w:sz w:val="20"/>
          <w:u w:val="single"/>
        </w:rPr>
        <w:t>that</w:t>
      </w:r>
      <w:r>
        <w:rPr>
          <w:rFonts w:ascii="Times New Roman;Times;serif" w:hAnsi="Times New Roman;Times;serif"/>
          <w:color w:val="000000"/>
          <w:sz w:val="20"/>
        </w:rPr>
        <w:t xml:space="preserve"> such acceleration shall be automatic, without any notice or other action of the Majority Holders is required, in respect of an Event of Default occurring pursuant to clause (v) of Section 8(a). Commencing five (5) days after the occurrence and continuance of any Event of Default (“</w:t>
      </w:r>
      <w:r>
        <w:rPr>
          <w:rFonts w:ascii="Times New Roman;Times;serif" w:hAnsi="Times New Roman;Times;serif"/>
          <w:color w:val="000000"/>
          <w:sz w:val="20"/>
          <w:u w:val="single"/>
        </w:rPr>
        <w:t>Interest Accrual Date</w:t>
      </w:r>
      <w:r>
        <w:rPr>
          <w:rFonts w:ascii="Times New Roman;Times;serif" w:hAnsi="Times New Roman;Times;serif"/>
          <w:color w:val="000000"/>
          <w:sz w:val="20"/>
        </w:rPr>
        <w:t>”), the interest on this Note shall accrue retroactively beginning on the Original Issue Date, at an interest rate equal to the lesser of 15.0% per annum or the maximum rate permitted under applicable law. In connection with such acceleration described herein, the Majority Holders need not provide, and the Company hereby waives, any presentment, demand, protest or other notice of any kind, and the Majority Holders may immediately and without expiration of any grace period enforce any and all of its rights and remedies hereunder and all other remedies available to it under applicable law. Such acceleration may be rescinded and annulled by the Majority Holders at any time prior to payment hereunder and the Holder shall have all rights as a holder of the Note until such time, if any, as the Holder receives full payment pursuant to this Section 8(b). No such rescission or annulment shall affect any subsequent Event of Default or impair any right consequent thereon. After the exercise of remedies provided for in this Section 8(b) or upon such automatic acceleration (as applicable), any amounts received by the Agent on account of this Note or any other Note (as such term is defined in the Security Agreement) shall be applied by the Agent in accordance with Section 9 of the Security Agreement.</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u w:val="single"/>
        </w:rPr>
        <w:t>Section 9.</w:t>
      </w:r>
      <w:r>
        <w:rPr>
          <w:rFonts w:ascii="Times New Roman;Times;serif" w:hAnsi="Times New Roman;Times;serif"/>
          <w:color w:val="000000"/>
          <w:sz w:val="20"/>
        </w:rPr>
        <w:t>          </w:t>
      </w:r>
      <w:r>
        <w:rPr>
          <w:rFonts w:ascii="Times New Roman;Times;serif" w:hAnsi="Times New Roman;Times;serif"/>
          <w:color w:val="000000"/>
          <w:sz w:val="20"/>
          <w:u w:val="single"/>
        </w:rPr>
        <w:t>Redemption</w:t>
      </w:r>
      <w:r>
        <w:rPr>
          <w:rFonts w:ascii="Times New Roman;Times;serif" w:hAnsi="Times New Roman;Times;serif"/>
          <w:color w:val="000000"/>
          <w:sz w:val="20"/>
        </w:rPr>
        <w:t>.</w:t>
      </w:r>
    </w:p>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93" w:name="z0f083769eafe45d78c5cf6edac217d53"/>
      <w:bookmarkStart w:id="94" w:name="z0f083769eafe45d78c5cf6edac217d53"/>
      <w:bookmarkEnd w:id="94"/>
    </w:p>
    <w:tbl>
      <w:tblPr>
        <w:tblW w:w="5463" w:type="dxa"/>
        <w:jc w:val="left"/>
        <w:tblInd w:w="0" w:type="dxa"/>
        <w:tblLayout w:type="fixed"/>
        <w:tblCellMar>
          <w:top w:w="0" w:type="dxa"/>
          <w:left w:w="0" w:type="dxa"/>
          <w:bottom w:w="0" w:type="dxa"/>
          <w:right w:w="0" w:type="dxa"/>
        </w:tblCellMar>
      </w:tblPr>
      <w:tblGrid>
        <w:gridCol w:w="38"/>
        <w:gridCol w:w="230"/>
        <w:gridCol w:w="5195"/>
      </w:tblGrid>
      <w:tr>
        <w:trPr/>
        <w:tc>
          <w:tcPr>
            <w:tcW w:w="38" w:type="dxa"/>
            <w:tcBorders/>
            <w:vAlign w:val="center"/>
          </w:tcPr>
          <w:p>
            <w:pPr>
              <w:pStyle w:val="TableContents"/>
              <w:bidi w:val="0"/>
              <w:spacing w:before="0" w:after="283"/>
              <w:jc w:val="left"/>
              <w:rPr/>
            </w:pPr>
            <w:r>
              <w:rPr/>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519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u w:val="single"/>
              </w:rPr>
              <w:t>Mandatory Redemption upon a Change of Control Transaction</w:t>
            </w:r>
            <w:r>
              <w:rPr>
                <w:rFonts w:ascii="Times New Roman;Times;serif" w:hAnsi="Times New Roman;Times;serif"/>
                <w:sz w:val="20"/>
              </w:rPr>
              <w:t>.</w:t>
            </w:r>
          </w:p>
        </w:tc>
      </w:tr>
    </w:tbl>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1260" w:right="0" w:firstLine="1266"/>
        <w:jc w:val="both"/>
        <w:rPr>
          <w:rFonts w:ascii="Times New Roman;Times;serif" w:hAnsi="Times New Roman;Times;serif"/>
          <w:color w:val="000000"/>
          <w:sz w:val="20"/>
        </w:rPr>
      </w:pPr>
      <w:r>
        <w:rPr>
          <w:rFonts w:ascii="Times New Roman;Times;serif" w:hAnsi="Times New Roman;Times;serif"/>
          <w:color w:val="000000"/>
          <w:sz w:val="20"/>
        </w:rPr>
        <w:t xml:space="preserve">(i)          At any time after the Original Issue Date, to the extent that there occurs a Change of Control Transaction, the Holder shall have the right, by delivering written notice to the Company, to cause the Company to redeem all or any portion of the Notes then outstanding, </w:t>
      </w:r>
      <w:r>
        <w:rPr>
          <w:rFonts w:ascii="Times New Roman;Times;serif" w:hAnsi="Times New Roman;Times;serif"/>
          <w:i/>
          <w:color w:val="000000"/>
          <w:sz w:val="20"/>
        </w:rPr>
        <w:t>plus</w:t>
      </w:r>
      <w:r>
        <w:rPr>
          <w:rFonts w:ascii="Times New Roman;Times;serif" w:hAnsi="Times New Roman;Times;serif"/>
          <w:color w:val="000000"/>
          <w:sz w:val="20"/>
        </w:rPr>
        <w:t xml:space="preserve"> all accrued and unpaid interest thereon (a “</w:t>
      </w:r>
      <w:r>
        <w:rPr>
          <w:rFonts w:ascii="Times New Roman;Times;serif" w:hAnsi="Times New Roman;Times;serif"/>
          <w:color w:val="000000"/>
          <w:sz w:val="20"/>
          <w:u w:val="single"/>
        </w:rPr>
        <w:t>Change of Control Redemption</w:t>
      </w:r>
      <w:r>
        <w:rPr>
          <w:rFonts w:ascii="Times New Roman;Times;serif" w:hAnsi="Times New Roman;Times;serif"/>
          <w:color w:val="000000"/>
          <w:sz w:val="20"/>
        </w:rPr>
        <w:t xml:space="preserve">”). The Notes subject to redemption pursuant to this Section 9(a) shall be redeemed by the Company in cash at a price equal to the product of (i) 105% and (ii) the aggregate principal amount of the Notes being redeemed, </w:t>
      </w:r>
      <w:r>
        <w:rPr>
          <w:rFonts w:ascii="Times New Roman;Times;serif" w:hAnsi="Times New Roman;Times;serif"/>
          <w:i/>
          <w:color w:val="000000"/>
          <w:sz w:val="20"/>
        </w:rPr>
        <w:t>plus</w:t>
      </w:r>
      <w:r>
        <w:rPr>
          <w:rFonts w:ascii="Times New Roman;Times;serif" w:hAnsi="Times New Roman;Times;serif"/>
          <w:color w:val="000000"/>
          <w:sz w:val="20"/>
        </w:rPr>
        <w:t xml:space="preserve"> and all accrued and unpaid interest thereon.</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1260" w:right="0" w:firstLine="1266"/>
        <w:jc w:val="both"/>
        <w:rPr>
          <w:rFonts w:ascii="Times New Roman;Times;serif" w:hAnsi="Times New Roman;Times;serif"/>
          <w:color w:val="000000"/>
          <w:sz w:val="20"/>
        </w:rPr>
      </w:pPr>
      <w:r>
        <w:rPr>
          <w:rFonts w:ascii="Times New Roman;Times;serif" w:hAnsi="Times New Roman;Times;serif"/>
          <w:color w:val="000000"/>
          <w:sz w:val="20"/>
        </w:rPr>
        <w:t>(ii)          With respect to any portion of this Note which has been specified to be redeemed by the Company pursuant to the Change of Control Redemption and which has been redeemed in accordance with the provisions of this Section 9(a), (i) such portion of this Note shall no longer be deemed outstanding and (ii) all rights with respect to such portion of this Note shall cease and terminate.</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18</w:t>
      </w:r>
    </w:p>
    <w:p>
      <w:pPr>
        <w:pStyle w:val="HorizontalLine"/>
        <w:pBdr>
          <w:bottom w:val="single" w:sz="12" w:space="0" w:color="808080"/>
        </w:pBdr>
        <w:bidi w:val="0"/>
        <w:spacing w:before="200" w:after="200"/>
        <w:jc w:val="left"/>
        <w:rPr/>
      </w:pPr>
      <w:r>
        <w:rPr/>
      </w:r>
    </w:p>
    <w:p>
      <w:pPr>
        <w:pStyle w:val="TextBody"/>
        <w:bidi w:val="0"/>
        <w:spacing w:lineRule="auto" w:line="300" w:before="0" w:after="0"/>
        <w:ind w:left="1260" w:right="0" w:firstLine="1266"/>
        <w:jc w:val="both"/>
        <w:rPr>
          <w:rFonts w:ascii="Times New Roman;Times;serif" w:hAnsi="Times New Roman;Times;serif"/>
          <w:color w:val="000000"/>
          <w:sz w:val="20"/>
        </w:rPr>
      </w:pPr>
      <w:r>
        <w:rPr>
          <w:rFonts w:ascii="Times New Roman;Times;serif" w:hAnsi="Times New Roman;Times;serif"/>
          <w:color w:val="000000"/>
          <w:sz w:val="20"/>
        </w:rPr>
        <w:t>(iii)          In the event of the Company’s redemption of any portion of this Note under this Section 9(a), a Holder’s damages would be uncertain and difficult to estimate because of the parties’ inability to predict future interest rates and the uncertainty of the availability of a suitable substitute investment opportunity for such Holder. Accordingly, any redemption premium due under this Section 9(a) is intended by the parties to be, and shall be deemed, a reasonable estimate of such Holder’s actual loss of its investment opportunity and not as a penalty.</w:t>
      </w:r>
    </w:p>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95" w:name="z38e1eab1cdb34f2e81f7562b0de9e26e"/>
      <w:bookmarkStart w:id="96" w:name="z38e1eab1cdb34f2e81f7562b0de9e26e"/>
      <w:bookmarkEnd w:id="96"/>
    </w:p>
    <w:tbl>
      <w:tblPr>
        <w:tblW w:w="4653" w:type="dxa"/>
        <w:jc w:val="left"/>
        <w:tblInd w:w="0" w:type="dxa"/>
        <w:tblLayout w:type="fixed"/>
        <w:tblCellMar>
          <w:top w:w="0" w:type="dxa"/>
          <w:left w:w="0" w:type="dxa"/>
          <w:bottom w:w="0" w:type="dxa"/>
          <w:right w:w="0" w:type="dxa"/>
        </w:tblCellMar>
      </w:tblPr>
      <w:tblGrid>
        <w:gridCol w:w="38"/>
        <w:gridCol w:w="245"/>
        <w:gridCol w:w="4370"/>
      </w:tblGrid>
      <w:tr>
        <w:trPr/>
        <w:tc>
          <w:tcPr>
            <w:tcW w:w="38" w:type="dxa"/>
            <w:tcBorders/>
            <w:vAlign w:val="center"/>
          </w:tcPr>
          <w:p>
            <w:pPr>
              <w:pStyle w:val="TableContents"/>
              <w:bidi w:val="0"/>
              <w:spacing w:before="0" w:after="283"/>
              <w:jc w:val="left"/>
              <w:rPr/>
            </w:pPr>
            <w:r>
              <w:rPr/>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437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u w:val="single"/>
              </w:rPr>
              <w:t>Mandatory Redemption upon Financing Transaction</w:t>
            </w:r>
            <w:r>
              <w:rPr>
                <w:rFonts w:ascii="Times New Roman;Times;serif" w:hAnsi="Times New Roman;Times;serif"/>
                <w:sz w:val="20"/>
              </w:rPr>
              <w:t>.</w:t>
            </w:r>
          </w:p>
        </w:tc>
      </w:tr>
    </w:tbl>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97" w:name="zbe02e0a6e22748d5ad64c0f9bbc4ca40"/>
      <w:bookmarkStart w:id="98" w:name="zbe02e0a6e22748d5ad64c0f9bbc4ca40"/>
      <w:bookmarkEnd w:id="98"/>
    </w:p>
    <w:tbl>
      <w:tblPr>
        <w:tblW w:w="10205" w:type="dxa"/>
        <w:jc w:val="left"/>
        <w:tblInd w:w="0" w:type="dxa"/>
        <w:tblLayout w:type="fixed"/>
        <w:tblCellMar>
          <w:top w:w="0" w:type="dxa"/>
          <w:left w:w="0" w:type="dxa"/>
          <w:bottom w:w="0" w:type="dxa"/>
          <w:right w:w="0" w:type="dxa"/>
        </w:tblCellMar>
      </w:tblPr>
      <w:tblGrid>
        <w:gridCol w:w="38"/>
        <w:gridCol w:w="148"/>
        <w:gridCol w:w="10019"/>
      </w:tblGrid>
      <w:tr>
        <w:trPr/>
        <w:tc>
          <w:tcPr>
            <w:tcW w:w="38" w:type="dxa"/>
            <w:tcBorders/>
            <w:vAlign w:val="center"/>
          </w:tcPr>
          <w:p>
            <w:pPr>
              <w:pStyle w:val="TableContents"/>
              <w:bidi w:val="0"/>
              <w:spacing w:before="0" w:after="283"/>
              <w:jc w:val="left"/>
              <w:rPr/>
            </w:pPr>
            <w:r>
              <w:rPr/>
            </w:r>
          </w:p>
        </w:tc>
        <w:tc>
          <w:tcPr>
            <w:tcW w:w="1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1001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In the event (i) the Company or any of its Subsidiaries conducts an offering of its equity securities, or (ii) any Ordinary Share Equivalents of the Company outstanding as of the Original Issue Date are exercised or converted, as applicable, including, without limitation, any warrant inducement transactions of the Company, in each case, resulting in cash proceeds to the Company in connection therewith (a “</w:t>
            </w:r>
            <w:r>
              <w:rPr>
                <w:rFonts w:ascii="Times New Roman;Times;serif" w:hAnsi="Times New Roman;Times;serif"/>
                <w:sz w:val="20"/>
                <w:u w:val="single"/>
              </w:rPr>
              <w:t>Financing Transaction</w:t>
            </w:r>
            <w:r>
              <w:rPr>
                <w:rFonts w:ascii="Times New Roman;Times;serif" w:hAnsi="Times New Roman;Times;serif"/>
                <w:sz w:val="20"/>
              </w:rPr>
              <w:t>”), the Company shall, within ten (10) Business Days of the receipt of the proceeds of such Financing Transaction, apply 33% of such gross proceeds the (“</w:t>
            </w:r>
            <w:r>
              <w:rPr>
                <w:rFonts w:ascii="Times New Roman;Times;serif" w:hAnsi="Times New Roman;Times;serif"/>
                <w:sz w:val="20"/>
                <w:u w:val="single"/>
              </w:rPr>
              <w:t>Financing Transaction Proceeds Amount</w:t>
            </w:r>
            <w:r>
              <w:rPr>
                <w:rFonts w:ascii="Times New Roman;Times;serif" w:hAnsi="Times New Roman;Times;serif"/>
                <w:sz w:val="20"/>
              </w:rPr>
              <w:t>”) towards the redemption (each, a “</w:t>
            </w:r>
            <w:r>
              <w:rPr>
                <w:rFonts w:ascii="Times New Roman;Times;serif" w:hAnsi="Times New Roman;Times;serif"/>
                <w:sz w:val="20"/>
                <w:u w:val="single"/>
              </w:rPr>
              <w:t>Financing Transaction Mandatory Redemption</w:t>
            </w:r>
            <w:r>
              <w:rPr>
                <w:rFonts w:ascii="Times New Roman;Times;serif" w:hAnsi="Times New Roman;Times;serif"/>
                <w:sz w:val="20"/>
              </w:rPr>
              <w:t>”) of the Notes and the Existing Notes in accordance with the terms of Section 9(b)(ii) below.</w:t>
            </w:r>
          </w:p>
        </w:tc>
      </w:tr>
    </w:tbl>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99" w:name="z0a24429c475d4b0998c7c75a0f9b5b66"/>
      <w:bookmarkStart w:id="100" w:name="z0a24429c475d4b0998c7c75a0f9b5b66"/>
      <w:bookmarkEnd w:id="100"/>
    </w:p>
    <w:tbl>
      <w:tblPr>
        <w:tblW w:w="10205" w:type="dxa"/>
        <w:jc w:val="left"/>
        <w:tblInd w:w="0" w:type="dxa"/>
        <w:tblLayout w:type="fixed"/>
        <w:tblCellMar>
          <w:top w:w="0" w:type="dxa"/>
          <w:left w:w="0" w:type="dxa"/>
          <w:bottom w:w="0" w:type="dxa"/>
          <w:right w:w="0" w:type="dxa"/>
        </w:tblCellMar>
      </w:tblPr>
      <w:tblGrid>
        <w:gridCol w:w="38"/>
        <w:gridCol w:w="204"/>
        <w:gridCol w:w="9963"/>
      </w:tblGrid>
      <w:tr>
        <w:trPr/>
        <w:tc>
          <w:tcPr>
            <w:tcW w:w="38" w:type="dxa"/>
            <w:tcBorders/>
            <w:vAlign w:val="center"/>
          </w:tcPr>
          <w:p>
            <w:pPr>
              <w:pStyle w:val="TableContents"/>
              <w:bidi w:val="0"/>
              <w:spacing w:before="0" w:after="283"/>
              <w:jc w:val="left"/>
              <w:rPr/>
            </w:pPr>
            <w:r>
              <w:rPr/>
            </w:r>
          </w:p>
        </w:tc>
        <w:tc>
          <w:tcPr>
            <w:tcW w:w="2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996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 xml:space="preserve">Any Financing Transaction Mandatory Redemption payments shall be applied: (i) </w:t>
            </w:r>
            <w:r>
              <w:rPr>
                <w:rFonts w:ascii="Times New Roman;Times;serif" w:hAnsi="Times New Roman;Times;serif"/>
                <w:i/>
                <w:sz w:val="20"/>
              </w:rPr>
              <w:t>first</w:t>
            </w:r>
            <w:r>
              <w:rPr>
                <w:rFonts w:ascii="Times New Roman;Times;serif" w:hAnsi="Times New Roman;Times;serif"/>
                <w:sz w:val="20"/>
              </w:rPr>
              <w:t xml:space="preserve">, against any accrued and unpaid interest due and payable on the Initial Notes and the Existing Initial Notes (allocated pro rata as among the Initial Notes and the Existing Initial Notes and to each holder thereof on a pro rata basis in accordance with the aggregate principal amount of the Initial Notes and the Existing Initial Notes held thereby), (ii) </w:t>
            </w:r>
            <w:r>
              <w:rPr>
                <w:rFonts w:ascii="Times New Roman;Times;serif" w:hAnsi="Times New Roman;Times;serif"/>
                <w:i/>
                <w:sz w:val="20"/>
              </w:rPr>
              <w:t>second</w:t>
            </w:r>
            <w:r>
              <w:rPr>
                <w:rFonts w:ascii="Times New Roman;Times;serif" w:hAnsi="Times New Roman;Times;serif"/>
                <w:sz w:val="20"/>
              </w:rPr>
              <w:t xml:space="preserve"> against any accrued and unpaid interest due and payable on any Additional Notes and any Existing Additional Notes (allocated pro rata as among the Additional Notes and the Existing Additional Notes and to each holder thereof on a pro rata basis in accordance with the aggregate principal amount of the Additional Notes and the Existing Additional Notes held thereby) and (iii) </w:t>
            </w:r>
            <w:r>
              <w:rPr>
                <w:rFonts w:ascii="Times New Roman;Times;serif" w:hAnsi="Times New Roman;Times;serif"/>
                <w:i/>
                <w:sz w:val="20"/>
              </w:rPr>
              <w:t>third</w:t>
            </w:r>
            <w:r>
              <w:rPr>
                <w:rFonts w:ascii="Times New Roman;Times;serif" w:hAnsi="Times New Roman;Times;serif"/>
                <w:sz w:val="20"/>
              </w:rPr>
              <w:t>, at the Company’s sole election, against the outstanding principal amount of this Note, any Additional Notes and the Existing Notes then outstanding (allocated pro rata as among this Note, the Additional Notes and the Existing Notes and to each holder thereof on a pro rata basis in accordance with the aggregate principal amount of this Note, the applicable Additional Notes and the Existing Notes held thereby); provided that, in the case of (iii), (a) the Company shall pay to the Holder a redemption fee equal to 35% of the principal amount of this Note and/or any Existing Initial Notes being redeemed; and (b) the Company shall pay to the Holder a redemption fee equal to 15% of the principal amount of any Additional Notes or Existing Additional Notes being redeemed.</w:t>
            </w:r>
          </w:p>
        </w:tc>
      </w:tr>
    </w:tbl>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19</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101" w:name="z5bf7d548a7ce44b9a224556d87a0811b"/>
      <w:bookmarkStart w:id="102" w:name="z5bf7d548a7ce44b9a224556d87a0811b"/>
      <w:bookmarkEnd w:id="102"/>
    </w:p>
    <w:tbl>
      <w:tblPr>
        <w:tblW w:w="10205" w:type="dxa"/>
        <w:jc w:val="left"/>
        <w:tblInd w:w="0" w:type="dxa"/>
        <w:tblLayout w:type="fixed"/>
        <w:tblCellMar>
          <w:top w:w="0" w:type="dxa"/>
          <w:left w:w="0" w:type="dxa"/>
          <w:bottom w:w="0" w:type="dxa"/>
          <w:right w:w="0" w:type="dxa"/>
        </w:tblCellMar>
      </w:tblPr>
      <w:tblGrid>
        <w:gridCol w:w="38"/>
        <w:gridCol w:w="196"/>
        <w:gridCol w:w="9971"/>
      </w:tblGrid>
      <w:tr>
        <w:trPr/>
        <w:tc>
          <w:tcPr>
            <w:tcW w:w="38" w:type="dxa"/>
            <w:tcBorders/>
            <w:vAlign w:val="center"/>
          </w:tcPr>
          <w:p>
            <w:pPr>
              <w:pStyle w:val="TableContents"/>
              <w:bidi w:val="0"/>
              <w:spacing w:before="0" w:after="283"/>
              <w:jc w:val="left"/>
              <w:rPr/>
            </w:pPr>
            <w:r>
              <w:rPr/>
            </w:r>
          </w:p>
        </w:tc>
        <w:tc>
          <w:tcPr>
            <w:tcW w:w="1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97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u w:val="single"/>
              </w:rPr>
              <w:t>Other Redemptions</w:t>
            </w:r>
            <w:r>
              <w:rPr>
                <w:rFonts w:ascii="Times New Roman;Times;serif" w:hAnsi="Times New Roman;Times;serif"/>
                <w:sz w:val="20"/>
              </w:rPr>
              <w:t>. Other than as described in Section 9(a) and 9(b) hereof, the Company may not redeem or prepay this Note without the prior written consent of the Majority Holders, which consent may be withheld in the Majority Holders’ sole discretion.</w:t>
            </w:r>
          </w:p>
        </w:tc>
      </w:tr>
    </w:tbl>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u w:val="single"/>
        </w:rPr>
        <w:t>Section 10</w:t>
      </w:r>
      <w:r>
        <w:rPr>
          <w:rFonts w:ascii="Times New Roman;Times;serif" w:hAnsi="Times New Roman;Times;serif"/>
          <w:color w:val="000000"/>
          <w:sz w:val="20"/>
        </w:rPr>
        <w:t>.          </w:t>
      </w:r>
      <w:r>
        <w:rPr>
          <w:rFonts w:ascii="Times New Roman;Times;serif" w:hAnsi="Times New Roman;Times;serif"/>
          <w:color w:val="000000"/>
          <w:sz w:val="20"/>
          <w:u w:val="single"/>
        </w:rPr>
        <w:t>Miscellaneous</w:t>
      </w:r>
      <w:r>
        <w:rPr>
          <w:rFonts w:ascii="Times New Roman;Times;serif" w:hAnsi="Times New Roman;Times;serif"/>
          <w:color w:val="000000"/>
          <w:sz w:val="20"/>
        </w:rPr>
        <w:t>.</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540"/>
        <w:jc w:val="both"/>
        <w:rPr>
          <w:rFonts w:ascii="Times New Roman;Times;serif" w:hAnsi="Times New Roman;Times;serif"/>
          <w:color w:val="000000"/>
          <w:sz w:val="20"/>
        </w:rPr>
      </w:pPr>
      <w:r>
        <w:rPr>
          <w:rFonts w:ascii="Times New Roman;Times;serif" w:hAnsi="Times New Roman;Times;serif"/>
          <w:color w:val="000000"/>
          <w:sz w:val="20"/>
        </w:rPr>
        <w:t>(a)          </w:t>
      </w:r>
      <w:r>
        <w:rPr>
          <w:rFonts w:ascii="Times New Roman;Times;serif" w:hAnsi="Times New Roman;Times;serif"/>
          <w:color w:val="000000"/>
          <w:sz w:val="20"/>
          <w:u w:val="single"/>
        </w:rPr>
        <w:t>Notices</w:t>
      </w:r>
      <w:r>
        <w:rPr>
          <w:rFonts w:ascii="Times New Roman;Times;serif" w:hAnsi="Times New Roman;Times;serif"/>
          <w:color w:val="000000"/>
          <w:sz w:val="20"/>
        </w:rPr>
        <w:t>.  Any and all notices or other communications or deliveries to be provided by the Holder hereunder, including, without limitation, any Notice of Conversion, shall be in writing and delivered personally, by email attachment, or sent by a nationally recognized overnight courier service, addressed to the Company, at the address set forth above, or such other email address, or address as the Company may specify for such purposes by notice to the Holder delivered in accordance with this Section 10(a).  Any and all notices or other communications or deliveries to be provided by the Company hereunder shall be in writing and delivered personally, by email attachment, or sent by a nationally recognized overnight courier service addressed to each Holder at the email address or address of the Holder appearing on the books of the Company, or if no such email attachment or address appears on the books of the Company, at the principal place of business of such Holder, as set forth in the Purchase Agreement.  Any notice or other communication or deliveries hereunder shall be deemed given and effective on the earliest of (i) the date of transmission, if such notice or communication is delivered via email attachment to the email address set forth on the signature pages attached hereto prior to 5:30 p.m. (New York City time) on any date, (ii) the next Trading Day after the date of transmission, if such notice or communication is delivered via email attachment to the email address set forth on the signature pages attached hereto on a day that is not a Trading Day or later than 5:30 p.m. (New York City time) on any Trading Day, (iii) the second Trading Day following the date of mailing, if sent by U.S. nationally recognized overnight courier service or (iv) upon actual receipt by the party to whom such notice is required to be given.</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540"/>
        <w:jc w:val="both"/>
        <w:rPr>
          <w:rFonts w:ascii="Times New Roman;Times;serif" w:hAnsi="Times New Roman;Times;serif"/>
          <w:color w:val="000000"/>
          <w:sz w:val="20"/>
        </w:rPr>
      </w:pPr>
      <w:r>
        <w:rPr>
          <w:rFonts w:ascii="Times New Roman;Times;serif" w:hAnsi="Times New Roman;Times;serif"/>
          <w:color w:val="000000"/>
          <w:sz w:val="20"/>
        </w:rPr>
        <w:t>(b)          </w:t>
      </w:r>
      <w:r>
        <w:rPr>
          <w:rFonts w:ascii="Times New Roman;Times;serif" w:hAnsi="Times New Roman;Times;serif"/>
          <w:color w:val="000000"/>
          <w:sz w:val="20"/>
          <w:u w:val="single"/>
        </w:rPr>
        <w:t>Absolute Obligation</w:t>
      </w:r>
      <w:r>
        <w:rPr>
          <w:rFonts w:ascii="Times New Roman;Times;serif" w:hAnsi="Times New Roman;Times;serif"/>
          <w:color w:val="000000"/>
          <w:sz w:val="20"/>
        </w:rPr>
        <w:t xml:space="preserve">. Except as expressly provided herein, no provision of this Note shall alter or impair the obligation of the Company, which is absolute and unconditional, to pay the principal of, liquidated damages and accrued interest, as applicable, on this Note at the time, place, and rate, and in the coin or currency, herein prescribed.  This Note is a direct debt obligation of the Company.  This Note ranks </w:t>
      </w:r>
      <w:r>
        <w:rPr>
          <w:rFonts w:ascii="Times New Roman;Times;serif" w:hAnsi="Times New Roman;Times;serif"/>
          <w:i/>
          <w:color w:val="000000"/>
          <w:sz w:val="20"/>
        </w:rPr>
        <w:t>pari passu</w:t>
      </w:r>
      <w:r>
        <w:rPr>
          <w:rFonts w:ascii="Times New Roman;Times;serif" w:hAnsi="Times New Roman;Times;serif"/>
          <w:color w:val="000000"/>
          <w:sz w:val="20"/>
        </w:rPr>
        <w:t xml:space="preserve"> with all other Notes now or hereafter issued under the terms set forth herein.</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20</w:t>
      </w:r>
    </w:p>
    <w:p>
      <w:pPr>
        <w:pStyle w:val="HorizontalLine"/>
        <w:pBdr>
          <w:bottom w:val="single" w:sz="12" w:space="0" w:color="808080"/>
        </w:pBdr>
        <w:bidi w:val="0"/>
        <w:spacing w:before="200" w:after="200"/>
        <w:jc w:val="left"/>
        <w:rPr/>
      </w:pPr>
      <w:r>
        <w:rPr/>
      </w:r>
    </w:p>
    <w:p>
      <w:pPr>
        <w:pStyle w:val="TextBody"/>
        <w:bidi w:val="0"/>
        <w:spacing w:lineRule="auto" w:line="300" w:before="0" w:after="0"/>
        <w:ind w:left="720" w:right="0" w:firstLine="540"/>
        <w:jc w:val="both"/>
        <w:rPr>
          <w:rFonts w:ascii="Times New Roman;Times;serif" w:hAnsi="Times New Roman;Times;serif"/>
          <w:color w:val="000000"/>
          <w:sz w:val="20"/>
        </w:rPr>
      </w:pPr>
      <w:r>
        <w:rPr>
          <w:rFonts w:ascii="Times New Roman;Times;serif" w:hAnsi="Times New Roman;Times;serif"/>
          <w:color w:val="000000"/>
          <w:sz w:val="20"/>
        </w:rPr>
        <w:t>(c)          </w:t>
      </w:r>
      <w:r>
        <w:rPr>
          <w:rFonts w:ascii="Times New Roman;Times;serif" w:hAnsi="Times New Roman;Times;serif"/>
          <w:color w:val="000000"/>
          <w:sz w:val="20"/>
          <w:u w:val="single"/>
        </w:rPr>
        <w:t>Lost or Mutilated Note</w:t>
      </w:r>
      <w:r>
        <w:rPr>
          <w:rFonts w:ascii="Times New Roman;Times;serif" w:hAnsi="Times New Roman;Times;serif"/>
          <w:color w:val="000000"/>
          <w:sz w:val="20"/>
        </w:rPr>
        <w:t>.  If this Note shall be mutilated, lost, stolen or destroyed, the Company shall execute and deliver, in exchange and substitution for and upon cancellation of a mutilated Note, or in lieu of or in substitution for a lost, stolen or destroyed Note, a new Note for the principal amount of this Note so mutilated, lost, stolen or destroyed, but only upon receipt of evidence of such loss, theft or destruction of such Note, and of the ownership hereof, reasonably satisfactory to the Company.</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540"/>
        <w:jc w:val="both"/>
        <w:rPr>
          <w:rFonts w:ascii="Times New Roman;Times;serif" w:hAnsi="Times New Roman;Times;serif"/>
          <w:color w:val="000000"/>
          <w:sz w:val="20"/>
        </w:rPr>
      </w:pPr>
      <w:r>
        <w:rPr>
          <w:rFonts w:ascii="Times New Roman;Times;serif" w:hAnsi="Times New Roman;Times;serif"/>
          <w:color w:val="000000"/>
          <w:sz w:val="20"/>
        </w:rPr>
        <w:t>(d)          </w:t>
      </w:r>
      <w:r>
        <w:rPr>
          <w:rFonts w:ascii="Times New Roman;Times;serif" w:hAnsi="Times New Roman;Times;serif"/>
          <w:color w:val="000000"/>
          <w:sz w:val="20"/>
          <w:u w:val="single"/>
        </w:rPr>
        <w:t>Governing Law</w:t>
      </w:r>
      <w:r>
        <w:rPr>
          <w:rFonts w:ascii="Times New Roman;Times;serif" w:hAnsi="Times New Roman;Times;serif"/>
          <w:color w:val="000000"/>
          <w:sz w:val="20"/>
        </w:rPr>
        <w:t>.  All questions concerning the construction, validity, enforcement and interpretation of this Note shall be governed by and construed and enforced in accordance with the internal laws of the State of New York, without regard to the principles of conflict of laws thereof (other than Title 14 of Article 5 of the New York General Obligations Law).  Each party agrees that all legal proceedings concerning the interpretation, enforcement and defense of the transactions contemplated by any of the Transaction Documents (whether brought against a party hereto or its respective Affiliates, directors, officers, shareholders, employees or agents) shall be commenced in the state and federal courts sitting in the State of New York (the “</w:t>
      </w:r>
      <w:r>
        <w:rPr>
          <w:rFonts w:ascii="Times New Roman;Times;serif" w:hAnsi="Times New Roman;Times;serif"/>
          <w:color w:val="000000"/>
          <w:sz w:val="20"/>
          <w:u w:val="single"/>
        </w:rPr>
        <w:t>New York Courts</w:t>
      </w:r>
      <w:r>
        <w:rPr>
          <w:rFonts w:ascii="Times New Roman;Times;serif" w:hAnsi="Times New Roman;Times;serif"/>
          <w:color w:val="000000"/>
          <w:sz w:val="20"/>
        </w:rPr>
        <w:t>”).  Each party hereto hereby irrevocably submits to the exclusive jurisdiction of the New York Courts for the adjudication of any dispute hereunder or in connection herewith or with any transaction contemplated hereby or discussed herein (including with respect to the enforcement of any of the Transaction Documents), and hereby irrevocably waives, and agrees not to assert in any suit, action or proceeding, any claim that it is not personally subject to the jurisdiction of such New York Courts, or such New York Courts are improper or inconvenient venue for such proceeding.  Each party hereby irrevocably waives personal service of process and consents to process being served in any such suit, action or proceeding by mailing a copy thereof via registered or certified mail or overnight delivery (with evidence of delivery) to such party at the address in effect for notices to it under this Note and agrees that such service shall constitute good and sufficient service of process and notice thereof.  Nothing contained herein shall be deemed to limit in any way any right to serve process in any other manner permitted by applicable law. Each party hereto hereby irrevocably waives, to the fullest extent permitted by applicable law, any and all right to trial by jury in any legal proceeding arising out of or relating to this Note or the transactions contemplated hereby. If any party shall commence an action or proceeding to enforce any provisions of this Note, then the prevailing party in such action or proceeding shall be reimbursed by the other party for its reasonable and documented out-of-pocket attorneys fees and other costs and expenses incurred in the investigation, preparation and prosecution of such action or proceeding.</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540"/>
        <w:jc w:val="both"/>
        <w:rPr>
          <w:rFonts w:ascii="Times New Roman;Times;serif" w:hAnsi="Times New Roman;Times;serif"/>
          <w:color w:val="000000"/>
          <w:sz w:val="20"/>
        </w:rPr>
      </w:pPr>
      <w:r>
        <w:rPr>
          <w:rFonts w:ascii="Times New Roman;Times;serif" w:hAnsi="Times New Roman;Times;serif"/>
          <w:color w:val="000000"/>
          <w:sz w:val="20"/>
        </w:rPr>
        <w:t>(e)          </w:t>
      </w:r>
      <w:r>
        <w:rPr>
          <w:rFonts w:ascii="Times New Roman;Times;serif" w:hAnsi="Times New Roman;Times;serif"/>
          <w:color w:val="000000"/>
          <w:sz w:val="20"/>
          <w:u w:val="single"/>
        </w:rPr>
        <w:t>Waiver</w:t>
      </w:r>
      <w:r>
        <w:rPr>
          <w:rFonts w:ascii="Times New Roman;Times;serif" w:hAnsi="Times New Roman;Times;serif"/>
          <w:color w:val="000000"/>
          <w:sz w:val="20"/>
        </w:rPr>
        <w:t>.  Any waiver by the Company or the Majority Purchasers (as defined in the Purchase Agreement) of a breach of any provision of this Note shall not operate as or be construed to be a waiver of any other breach of such provision or of any breach of any other provision of this Note.  The failure of the Company or the Holder to insist upon strict adherence to any term of this Note on one or more occasions shall not be considered a waiver or deprive that party of the right thereafter to insist upon strict adherence to that term or any other term of this Note on any other occasion.  Any provision of this Note may be waived by the Majority Purchasers, which waiver shall be binding on all of the holders of the Notes and their successors and assigns. Any provision of this Note may be amended by the Company and the Majority Purchasers and must be in writing, which amendment shall be binding on all of the holders of the Notes and their successors and assigns.</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21</w:t>
      </w:r>
    </w:p>
    <w:p>
      <w:pPr>
        <w:pStyle w:val="HorizontalLine"/>
        <w:pBdr>
          <w:bottom w:val="single" w:sz="12" w:space="0" w:color="808080"/>
        </w:pBdr>
        <w:bidi w:val="0"/>
        <w:spacing w:before="200" w:after="200"/>
        <w:jc w:val="left"/>
        <w:rPr/>
      </w:pPr>
      <w:r>
        <w:rPr/>
      </w:r>
    </w:p>
    <w:p>
      <w:pPr>
        <w:pStyle w:val="TextBody"/>
        <w:bidi w:val="0"/>
        <w:spacing w:lineRule="auto" w:line="300" w:before="0" w:after="0"/>
        <w:ind w:left="720" w:right="0" w:firstLine="540"/>
        <w:jc w:val="both"/>
        <w:rPr>
          <w:rFonts w:ascii="Times New Roman;Times;serif" w:hAnsi="Times New Roman;Times;serif"/>
          <w:color w:val="000000"/>
          <w:sz w:val="20"/>
        </w:rPr>
      </w:pPr>
      <w:r>
        <w:rPr>
          <w:rFonts w:ascii="Times New Roman;Times;serif" w:hAnsi="Times New Roman;Times;serif"/>
          <w:color w:val="000000"/>
          <w:sz w:val="20"/>
        </w:rPr>
        <w:t>(f)          </w:t>
      </w:r>
      <w:r>
        <w:rPr>
          <w:rFonts w:ascii="Times New Roman;Times;serif" w:hAnsi="Times New Roman;Times;serif"/>
          <w:color w:val="000000"/>
          <w:sz w:val="20"/>
          <w:u w:val="single"/>
        </w:rPr>
        <w:t>Severability</w:t>
      </w:r>
      <w:r>
        <w:rPr>
          <w:rFonts w:ascii="Times New Roman;Times;serif" w:hAnsi="Times New Roman;Times;serif"/>
          <w:color w:val="000000"/>
          <w:sz w:val="20"/>
        </w:rPr>
        <w:t>.  If any provision of this Note is invalid, illegal or unenforceable, the balance of this Note shall remain in effect, and if any provision is inapplicable to any Person or circumstance, it shall nevertheless remain applicable to all other Persons and circumstances.  If it shall be found that any interest or other amount deemed interest due hereunder violates the applicable law governing usury, the applicable rate of interest due hereunder shall automatically be lowered to equal the maximum rate of interest permitted under applicable law. The Company covenants (to the extent that it may lawfully do so) that it shall not at any time insist upon, plead, or in any manner whatsoever claim or take the benefit or advantage of, any stay, extension or usury law or other law which would prohibit or forgive the Company from paying all or any portion of the principal of or interest on this Note as contemplated herein, wherever enacted, now or at any time hereafter in force, or which may affect the covenants or the performance of this Note, and the Company (to the extent it may lawfully do so) hereby expressly waives all benefits or advantage of any such law, and covenants that it will not, by resort to any such law, hinder, delay or impede the execution of any power herein granted to the Holder, but will suffer and permit the execution of every such as though no such law has been enacted.</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540"/>
        <w:jc w:val="both"/>
        <w:rPr>
          <w:rFonts w:ascii="Times New Roman;Times;serif" w:hAnsi="Times New Roman;Times;serif"/>
          <w:color w:val="000000"/>
          <w:sz w:val="20"/>
        </w:rPr>
      </w:pPr>
      <w:r>
        <w:rPr>
          <w:rFonts w:ascii="Times New Roman;Times;serif" w:hAnsi="Times New Roman;Times;serif"/>
          <w:color w:val="000000"/>
          <w:sz w:val="20"/>
        </w:rPr>
        <w:t>(g)          </w:t>
      </w:r>
      <w:r>
        <w:rPr>
          <w:rFonts w:ascii="Times New Roman;Times;serif" w:hAnsi="Times New Roman;Times;serif"/>
          <w:color w:val="000000"/>
          <w:sz w:val="20"/>
          <w:u w:val="single"/>
        </w:rPr>
        <w:t>Remedies, Characterizations, Other Obligations, Breaches and Injunctive Relief</w:t>
      </w:r>
      <w:r>
        <w:rPr>
          <w:rFonts w:ascii="Times New Roman;Times;serif" w:hAnsi="Times New Roman;Times;serif"/>
          <w:color w:val="000000"/>
          <w:sz w:val="20"/>
        </w:rPr>
        <w:t>.  The remedies provided in this Note shall be cumulative and in addition to all other remedies available under this Note and any of the other Transaction Documents at law or in equity (including a decree of specific performance and/or other injunctive relief), and nothing herein shall limit the Holder’s right to pursue actual and consequential damages for any failure by the Company to comply with the terms of this Note. The Company covenants to the Holder that there shall be no characterization concerning this instrument other than as expressly provided herein. Amounts set forth or provided for herein with respect to payments, conversion and the like (and the computation thereof) shall be the amounts to be received by the Holder and shall not, except as expressly provided herein, be subject to any other obligation of the Company (or the performance thereof). The Company acknowledges that a breach by it of its obligations hereunder will cause irreparable harm to the Holder and that the remedy at law for any such breach may be inadequate. The Company therefore agrees that, in the event of any such breach or threatened breach, the Holder shall be entitled, in addition to all other available remedies, to an injunction restraining any such breach or any such threatened breach, without the necessity of showing economic loss and without any bond or other security being required. The Company shall provide all information and documentation to the Holder that is requested by the Holder to enable the Holder to confirm the Company’s compliance with the terms and conditions of this Note.</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22</w:t>
      </w:r>
    </w:p>
    <w:p>
      <w:pPr>
        <w:pStyle w:val="HorizontalLine"/>
        <w:pBdr>
          <w:bottom w:val="single" w:sz="12" w:space="0" w:color="808080"/>
        </w:pBdr>
        <w:bidi w:val="0"/>
        <w:spacing w:before="200" w:after="200"/>
        <w:jc w:val="left"/>
        <w:rPr/>
      </w:pPr>
      <w:r>
        <w:rPr/>
      </w:r>
    </w:p>
    <w:p>
      <w:pPr>
        <w:pStyle w:val="TextBody"/>
        <w:bidi w:val="0"/>
        <w:spacing w:lineRule="auto" w:line="300" w:before="0" w:after="0"/>
        <w:ind w:left="720" w:right="0" w:firstLine="540"/>
        <w:jc w:val="both"/>
        <w:rPr>
          <w:rFonts w:ascii="Times New Roman;Times;serif" w:hAnsi="Times New Roman;Times;serif"/>
          <w:color w:val="000000"/>
          <w:sz w:val="20"/>
        </w:rPr>
      </w:pPr>
      <w:r>
        <w:rPr>
          <w:rFonts w:ascii="Times New Roman;Times;serif" w:hAnsi="Times New Roman;Times;serif"/>
          <w:color w:val="000000"/>
          <w:sz w:val="20"/>
        </w:rPr>
        <w:t>(h)          </w:t>
      </w:r>
      <w:r>
        <w:rPr>
          <w:rFonts w:ascii="Times New Roman;Times;serif" w:hAnsi="Times New Roman;Times;serif"/>
          <w:color w:val="000000"/>
          <w:sz w:val="20"/>
          <w:u w:val="single"/>
        </w:rPr>
        <w:t>Next Business Day</w:t>
      </w:r>
      <w:r>
        <w:rPr>
          <w:rFonts w:ascii="Times New Roman;Times;serif" w:hAnsi="Times New Roman;Times;serif"/>
          <w:color w:val="000000"/>
          <w:sz w:val="20"/>
        </w:rPr>
        <w:t>.  Whenever any payment or other obligation hereunder shall be due on a day other than a Business Day, such payment shall be made on the next succeeding Business Day.</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540"/>
        <w:jc w:val="both"/>
        <w:rPr>
          <w:rFonts w:ascii="Times New Roman;Times;serif" w:hAnsi="Times New Roman;Times;serif"/>
          <w:color w:val="000000"/>
          <w:sz w:val="20"/>
        </w:rPr>
      </w:pPr>
      <w:r>
        <w:rPr>
          <w:rFonts w:ascii="Times New Roman;Times;serif" w:hAnsi="Times New Roman;Times;serif"/>
          <w:color w:val="000000"/>
          <w:sz w:val="20"/>
        </w:rPr>
        <w:t>(i)          </w:t>
      </w:r>
      <w:r>
        <w:rPr>
          <w:rFonts w:ascii="Times New Roman;Times;serif" w:hAnsi="Times New Roman;Times;serif"/>
          <w:color w:val="000000"/>
          <w:sz w:val="20"/>
          <w:u w:val="single"/>
        </w:rPr>
        <w:t>Headings</w:t>
      </w:r>
      <w:r>
        <w:rPr>
          <w:rFonts w:ascii="Times New Roman;Times;serif" w:hAnsi="Times New Roman;Times;serif"/>
          <w:color w:val="000000"/>
          <w:sz w:val="20"/>
        </w:rPr>
        <w:t>.  The headings contained herein are for convenience only, do not constitute a part of this Note and shall not be deemed to limit or affect any of the provisions hereof.</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u w:val="single"/>
        </w:rPr>
        <w:t>Section 11</w:t>
      </w:r>
      <w:r>
        <w:rPr>
          <w:rFonts w:ascii="Times New Roman;Times;serif" w:hAnsi="Times New Roman;Times;serif"/>
          <w:color w:val="000000"/>
          <w:sz w:val="20"/>
        </w:rPr>
        <w:t xml:space="preserve">.   </w:t>
      </w:r>
      <w:r>
        <w:rPr>
          <w:rFonts w:ascii="Times New Roman;Times;serif" w:hAnsi="Times New Roman;Times;serif"/>
          <w:color w:val="000000"/>
          <w:sz w:val="20"/>
          <w:u w:val="single"/>
        </w:rPr>
        <w:t>Secured Obligation</w:t>
      </w:r>
      <w:r>
        <w:rPr>
          <w:rFonts w:ascii="Times New Roman;Times;serif" w:hAnsi="Times New Roman;Times;serif"/>
          <w:color w:val="000000"/>
          <w:sz w:val="20"/>
        </w:rPr>
        <w:t>.  The obligations of the Company under this Note are secured by the Collateral.</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u w:val="single"/>
        </w:rPr>
        <w:t>Section 12</w:t>
      </w:r>
      <w:r>
        <w:rPr>
          <w:rFonts w:ascii="Times New Roman;Times;serif" w:hAnsi="Times New Roman;Times;serif"/>
          <w:color w:val="000000"/>
          <w:sz w:val="20"/>
        </w:rPr>
        <w:t xml:space="preserve">.   </w:t>
      </w:r>
      <w:r>
        <w:rPr>
          <w:rFonts w:ascii="Times New Roman;Times;serif" w:hAnsi="Times New Roman;Times;serif"/>
          <w:color w:val="000000"/>
          <w:sz w:val="20"/>
          <w:u w:val="single"/>
        </w:rPr>
        <w:t>Disclosure</w:t>
      </w:r>
      <w:r>
        <w:rPr>
          <w:rFonts w:ascii="Times New Roman;Times;serif" w:hAnsi="Times New Roman;Times;serif"/>
          <w:color w:val="000000"/>
          <w:sz w:val="20"/>
        </w:rPr>
        <w:t>.  Upon receipt or delivery by the Company of any notice in accordance with the terms of this Note, in the event that the Company believes that such notice contains material, non-public information relating to the Company or its Subsidiaries, the Company shall so indicate in such notice that it contains material, non-public information relating to the Company or its Subsidiaries and, simultaneously with the delivery of such notice to the Holder, the Company shall publicly disclose the contents of such notice in a Current Report on Form 8-K filed with the Commission.  If the Company does not indicate to the Holder with delivery of such notice that it contains material, non-public information relating to the Company or its Subsidiaries, the Holder shall be allowed to presume that all matters set forth in such notice do not constitute material, nonpublic information relating to the Company or its Subsidiaries.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center"/>
        <w:rPr>
          <w:rFonts w:ascii="Times New Roman;Times;serif" w:hAnsi="Times New Roman;Times;serif"/>
          <w:color w:val="000000"/>
          <w:sz w:val="20"/>
        </w:rPr>
      </w:pPr>
      <w:r>
        <w:rPr>
          <w:rFonts w:ascii="Times New Roman;Times;serif" w:hAnsi="Times New Roman;Times;serif"/>
          <w:color w:val="000000"/>
          <w:sz w:val="20"/>
        </w:rPr>
        <w:t>*********************</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center"/>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i/>
          <w:color w:val="000000"/>
          <w:sz w:val="20"/>
        </w:rPr>
        <w:t>Signature Page Follows</w:t>
      </w:r>
      <w:r>
        <w:rPr>
          <w:rFonts w:ascii="Times New Roman;Times;serif" w:hAnsi="Times New Roman;Times;serif"/>
          <w:color w:val="000000"/>
          <w:sz w:val="20"/>
        </w:rPr>
        <w:t>)</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23</w:t>
      </w:r>
    </w:p>
    <w:p>
      <w:pPr>
        <w:pStyle w:val="HorizontalLine"/>
        <w:pBdr>
          <w:bottom w:val="single" w:sz="12" w:space="0" w:color="808080"/>
        </w:pBdr>
        <w:bidi w:val="0"/>
        <w:spacing w:before="200" w:after="200"/>
        <w:jc w:val="left"/>
        <w:rPr/>
      </w:pPr>
      <w:r>
        <w:rPr/>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IN WITNESS WHEREOF, the Company has caused this Note to be duly executed by a duly authorized officer as of the date first above indicated.</w:t>
      </w:r>
    </w:p>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103" w:name="z4b4975e6fd3949dda65f18c3a688d433"/>
      <w:bookmarkStart w:id="104" w:name="z4b4975e6fd3949dda65f18c3a688d433"/>
      <w:bookmarkEnd w:id="104"/>
    </w:p>
    <w:tbl>
      <w:tblPr>
        <w:tblW w:w="4790" w:type="dxa"/>
        <w:jc w:val="left"/>
        <w:tblInd w:w="0" w:type="dxa"/>
        <w:tblLayout w:type="fixed"/>
        <w:tblCellMar>
          <w:top w:w="0" w:type="dxa"/>
          <w:left w:w="0" w:type="dxa"/>
          <w:bottom w:w="0" w:type="dxa"/>
          <w:right w:w="0" w:type="dxa"/>
        </w:tblCellMar>
      </w:tblPr>
      <w:tblGrid>
        <w:gridCol w:w="60"/>
        <w:gridCol w:w="4730"/>
      </w:tblGrid>
      <w:tr>
        <w:trPr/>
        <w:tc>
          <w:tcPr>
            <w:tcW w:w="60" w:type="dxa"/>
            <w:tcBorders/>
            <w:vAlign w:val="center"/>
          </w:tcPr>
          <w:p>
            <w:pPr>
              <w:pStyle w:val="TableContents"/>
              <w:bidi w:val="0"/>
              <w:spacing w:before="0" w:after="283"/>
              <w:jc w:val="left"/>
              <w:rPr/>
            </w:pPr>
            <w:r>
              <w:rPr/>
              <w:t> </w:t>
            </w:r>
          </w:p>
        </w:tc>
        <w:tc>
          <w:tcPr>
            <w:tcW w:w="4730" w:type="dxa"/>
            <w:tcBorders/>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LIFEWARD LTD.</w:t>
            </w:r>
          </w:p>
        </w:tc>
      </w:tr>
      <w:tr>
        <w:trPr/>
        <w:tc>
          <w:tcPr>
            <w:tcW w:w="60" w:type="dxa"/>
            <w:tcBorders/>
            <w:vAlign w:val="center"/>
          </w:tcPr>
          <w:p>
            <w:pPr>
              <w:pStyle w:val="TableContents"/>
              <w:bidi w:val="0"/>
              <w:spacing w:before="0" w:after="283"/>
              <w:jc w:val="left"/>
              <w:rPr/>
            </w:pPr>
            <w:r>
              <w:rPr/>
              <w:t> </w:t>
            </w:r>
          </w:p>
        </w:tc>
        <w:tc>
          <w:tcPr>
            <w:tcW w:w="473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473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By:__________________________________________</w:t>
            </w:r>
          </w:p>
          <w:p>
            <w:pPr>
              <w:pStyle w:val="TableContents"/>
              <w:bidi w:val="0"/>
              <w:spacing w:lineRule="auto" w:line="300" w:before="0" w:after="0"/>
              <w:ind w:left="360" w:right="0" w:hanging="0"/>
              <w:jc w:val="left"/>
              <w:rPr>
                <w:rFonts w:ascii="Times New Roman;Times;serif" w:hAnsi="Times New Roman;Times;serif"/>
                <w:sz w:val="20"/>
              </w:rPr>
            </w:pPr>
            <w:r>
              <w:rPr>
                <w:rFonts w:ascii="Times New Roman;Times;serif" w:hAnsi="Times New Roman;Times;serif"/>
                <w:sz w:val="20"/>
              </w:rPr>
              <w:t>Name: William Mark Grant</w:t>
            </w:r>
          </w:p>
          <w:p>
            <w:pPr>
              <w:pStyle w:val="TableContents"/>
              <w:bidi w:val="0"/>
              <w:spacing w:lineRule="auto" w:line="300" w:before="0" w:after="0"/>
              <w:ind w:left="360" w:right="0" w:hanging="0"/>
              <w:jc w:val="left"/>
              <w:rPr>
                <w:rFonts w:ascii="Times New Roman;Times;serif" w:hAnsi="Times New Roman;Times;serif"/>
                <w:sz w:val="20"/>
              </w:rPr>
            </w:pPr>
            <w:r>
              <w:rPr>
                <w:rFonts w:ascii="Times New Roman;Times;serif" w:hAnsi="Times New Roman;Times;serif"/>
                <w:sz w:val="20"/>
              </w:rPr>
              <w:t>Title: President and Chief Executive Officer</w:t>
            </w:r>
          </w:p>
        </w:tc>
      </w:tr>
    </w:tbl>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ANNEX A</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NOTICE OF CONVERSION</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Reference is made to the Senior Secured Convertible Note (the “</w:t>
      </w:r>
      <w:r>
        <w:rPr>
          <w:rFonts w:ascii="Times New Roman;Times;serif" w:hAnsi="Times New Roman;Times;serif"/>
          <w:color w:val="000000"/>
          <w:sz w:val="20"/>
          <w:u w:val="single"/>
        </w:rPr>
        <w:t>Note</w:t>
      </w:r>
      <w:r>
        <w:rPr>
          <w:rFonts w:ascii="Times New Roman;Times;serif" w:hAnsi="Times New Roman;Times;serif"/>
          <w:color w:val="000000"/>
          <w:sz w:val="20"/>
        </w:rPr>
        <w:t>”) of Lifeward Ltd., an Israeli company (the “</w:t>
      </w:r>
      <w:r>
        <w:rPr>
          <w:rFonts w:ascii="Times New Roman;Times;serif" w:hAnsi="Times New Roman;Times;serif"/>
          <w:color w:val="000000"/>
          <w:sz w:val="20"/>
          <w:u w:val="single"/>
        </w:rPr>
        <w:t>Company</w:t>
      </w:r>
      <w:r>
        <w:rPr>
          <w:rFonts w:ascii="Times New Roman;Times;serif" w:hAnsi="Times New Roman;Times;serif"/>
          <w:color w:val="000000"/>
          <w:sz w:val="20"/>
        </w:rPr>
        <w:t>”).</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The undersigned hereby elects to convert principal under the Note (</w:t>
      </w:r>
      <w:r>
        <w:rPr>
          <w:rFonts w:ascii="Times New Roman;Times;serif" w:hAnsi="Times New Roman;Times;serif"/>
          <w:i/>
          <w:color w:val="000000"/>
          <w:sz w:val="20"/>
        </w:rPr>
        <w:t>plus</w:t>
      </w:r>
      <w:r>
        <w:rPr>
          <w:rFonts w:ascii="Times New Roman;Times;serif" w:hAnsi="Times New Roman;Times;serif"/>
          <w:color w:val="000000"/>
          <w:sz w:val="20"/>
        </w:rPr>
        <w:t>, the accrued and unpaid interest thereon) into ordinary shares of the Company (the “</w:t>
      </w:r>
      <w:r>
        <w:rPr>
          <w:rFonts w:ascii="Times New Roman;Times;serif" w:hAnsi="Times New Roman;Times;serif"/>
          <w:color w:val="000000"/>
          <w:sz w:val="20"/>
          <w:u w:val="single"/>
        </w:rPr>
        <w:t>Ordinary Shares</w:t>
      </w:r>
      <w:r>
        <w:rPr>
          <w:rFonts w:ascii="Times New Roman;Times;serif" w:hAnsi="Times New Roman;Times;serif"/>
          <w:color w:val="000000"/>
          <w:sz w:val="20"/>
        </w:rPr>
        <w:t>”) according to the conditions hereof, as of the date written below.  If Ordinary Shares are to be issued in the name of a person other than the undersigned, the undersigned will pay all issue, stamp, transfer and similar taxes payable with respect thereto and is delivering herewith such certificates and opinions as reasonably requested by the Company in accordance therewith.  No fee will be charged to the holder for any conversion, except for such issue, stamp, transfer and similar taxes, if any.</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By the delivery of this Notice of Conversion the undersigned represents and warrants to the Company that its ownership of the Ordinary Shares does not exceed the amounts specified under Section 4 of this Note, as determined in accordance with Section 13(d) of the Exchange Act.</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The undersigned agrees to comply with the prospectus delivery requirements under the applicable securities laws in connection with any transfer of the aforesaid Ordinary Shares.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Conversion calculations:</w:t>
      </w:r>
    </w:p>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105" w:name="z7860eb2d0d214a85bdfebe8e201b7cb9"/>
      <w:bookmarkStart w:id="106" w:name="z7860eb2d0d214a85bdfebe8e201b7cb9"/>
      <w:bookmarkEnd w:id="106"/>
    </w:p>
    <w:tbl>
      <w:tblPr>
        <w:tblW w:w="4250" w:type="dxa"/>
        <w:jc w:val="left"/>
        <w:tblInd w:w="0" w:type="dxa"/>
        <w:tblLayout w:type="fixed"/>
        <w:tblCellMar>
          <w:top w:w="0" w:type="dxa"/>
          <w:left w:w="0" w:type="dxa"/>
          <w:bottom w:w="0" w:type="dxa"/>
          <w:right w:w="0" w:type="dxa"/>
        </w:tblCellMar>
      </w:tblPr>
      <w:tblGrid>
        <w:gridCol w:w="60"/>
        <w:gridCol w:w="4190"/>
      </w:tblGrid>
      <w:tr>
        <w:trPr/>
        <w:tc>
          <w:tcPr>
            <w:tcW w:w="60" w:type="dxa"/>
            <w:tcBorders/>
            <w:vAlign w:val="center"/>
          </w:tcPr>
          <w:p>
            <w:pPr>
              <w:pStyle w:val="TableContents"/>
              <w:bidi w:val="0"/>
              <w:spacing w:before="0" w:after="0"/>
              <w:jc w:val="left"/>
              <w:rPr/>
            </w:pPr>
            <w:r>
              <w:rPr/>
              <w:t> </w:t>
            </w:r>
          </w:p>
        </w:tc>
        <w:tc>
          <w:tcPr>
            <w:tcW w:w="4190"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Date to Effect Conversion:</w:t>
            </w:r>
          </w:p>
          <w:p>
            <w:pPr>
              <w:pStyle w:val="TableContents"/>
              <w:bidi w:val="0"/>
              <w:spacing w:lineRule="auto" w:line="300" w:before="0" w:after="0"/>
              <w:jc w:val="left"/>
              <w:rPr/>
            </w:pPr>
            <w:r>
              <w:rPr/>
            </w:r>
          </w:p>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Principal Amount of Note to be Converted:</w:t>
            </w:r>
          </w:p>
          <w:p>
            <w:pPr>
              <w:pStyle w:val="TableContents"/>
              <w:bidi w:val="0"/>
              <w:spacing w:lineRule="auto" w:line="300" w:before="0" w:after="0"/>
              <w:jc w:val="left"/>
              <w:rPr/>
            </w:pPr>
            <w:r>
              <w:rPr/>
            </w:r>
          </w:p>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Accrued and Unpaid Interest to be Converted:</w:t>
            </w:r>
          </w:p>
          <w:p>
            <w:pPr>
              <w:pStyle w:val="TableContents"/>
              <w:bidi w:val="0"/>
              <w:spacing w:lineRule="auto" w:line="300" w:before="0" w:after="0"/>
              <w:jc w:val="left"/>
              <w:rPr/>
            </w:pPr>
            <w:r>
              <w:rPr/>
            </w:r>
          </w:p>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Number  of Ordinary Shares to be issued:</w:t>
            </w:r>
          </w:p>
          <w:p>
            <w:pPr>
              <w:pStyle w:val="TableContents"/>
              <w:bidi w:val="0"/>
              <w:spacing w:lineRule="auto" w:line="300" w:before="0" w:after="0"/>
              <w:jc w:val="left"/>
              <w:rPr/>
            </w:pPr>
            <w:r>
              <w:rPr/>
            </w:r>
          </w:p>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Signature:</w:t>
            </w:r>
          </w:p>
          <w:p>
            <w:pPr>
              <w:pStyle w:val="TableContents"/>
              <w:bidi w:val="0"/>
              <w:spacing w:lineRule="auto" w:line="300" w:before="0" w:after="0"/>
              <w:jc w:val="left"/>
              <w:rPr/>
            </w:pPr>
            <w:r>
              <w:rPr/>
            </w:r>
          </w:p>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Name:</w:t>
            </w:r>
          </w:p>
          <w:p>
            <w:pPr>
              <w:pStyle w:val="TableContents"/>
              <w:bidi w:val="0"/>
              <w:spacing w:lineRule="auto" w:line="300" w:before="0" w:after="0"/>
              <w:jc w:val="left"/>
              <w:rPr/>
            </w:pPr>
            <w:r>
              <w:rPr/>
            </w:r>
          </w:p>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Address for Delivery of Ordinary Share Certificates:</w:t>
            </w:r>
          </w:p>
          <w:p>
            <w:pPr>
              <w:pStyle w:val="TableContents"/>
              <w:bidi w:val="0"/>
              <w:spacing w:lineRule="auto" w:line="300" w:before="0" w:after="0"/>
              <w:jc w:val="left"/>
              <w:rPr/>
            </w:pPr>
            <w:r>
              <w:rPr/>
            </w:r>
          </w:p>
          <w:p>
            <w:pPr>
              <w:pStyle w:val="TableContents"/>
              <w:bidi w:val="0"/>
              <w:spacing w:lineRule="auto" w:line="300" w:before="0" w:after="0"/>
              <w:jc w:val="both"/>
              <w:rPr>
                <w:rFonts w:ascii="Times New Roman;Times;serif" w:hAnsi="Times New Roman;Times;serif"/>
                <w:sz w:val="20"/>
                <w:u w:val="single"/>
              </w:rPr>
            </w:pPr>
            <w:r>
              <w:rPr>
                <w:rFonts w:ascii="Times New Roman;Times;serif" w:hAnsi="Times New Roman;Times;serif"/>
                <w:sz w:val="20"/>
                <w:u w:val="single"/>
              </w:rPr>
              <w:t>Or</w:t>
            </w:r>
          </w:p>
          <w:p>
            <w:pPr>
              <w:pStyle w:val="TableContents"/>
              <w:bidi w:val="0"/>
              <w:spacing w:lineRule="auto" w:line="300" w:before="0" w:after="0"/>
              <w:jc w:val="left"/>
              <w:rPr/>
            </w:pPr>
            <w:r>
              <w:rPr/>
            </w:r>
          </w:p>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DWAC Instructions:</w:t>
            </w:r>
          </w:p>
        </w:tc>
      </w:tr>
    </w:tbl>
    <w:p>
      <w:pPr>
        <w:pStyle w:val="TextBody"/>
        <w:bidi w:val="0"/>
        <w:spacing w:lineRule="auto" w:line="300" w:before="0" w:after="0"/>
        <w:jc w:val="left"/>
        <w:rPr/>
      </w:pPr>
      <w:r>
        <w:rPr/>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DTC Participant Number: </w:t>
      </w:r>
      <w:r>
        <w:rPr>
          <w:rFonts w:ascii="Times New Roman;Times;serif" w:hAnsi="Times New Roman;Times;serif"/>
          <w:color w:val="000000"/>
          <w:sz w:val="20"/>
          <w:u w:val="single"/>
        </w:rPr>
        <w:t xml:space="preserve">                                       </w:t>
      </w:r>
    </w:p>
    <w:p>
      <w:pPr>
        <w:pStyle w:val="TextBody"/>
        <w:bidi w:val="0"/>
        <w:spacing w:lineRule="auto" w:line="300" w:before="0" w:after="0"/>
        <w:jc w:val="left"/>
        <w:rPr/>
      </w:pPr>
      <w:r>
        <w:rPr/>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DTC Participant Name: </w:t>
      </w:r>
      <w:r>
        <w:rPr>
          <w:rFonts w:ascii="Times New Roman;Times;serif" w:hAnsi="Times New Roman;Times;serif"/>
          <w:color w:val="000000"/>
          <w:sz w:val="20"/>
          <w:u w:val="single"/>
        </w:rPr>
        <w:t>                                        </w:t>
      </w:r>
    </w:p>
    <w:p>
      <w:pPr>
        <w:pStyle w:val="TextBody"/>
        <w:bidi w:val="0"/>
        <w:spacing w:lineRule="auto" w:line="300" w:before="0" w:after="0"/>
        <w:jc w:val="left"/>
        <w:rPr/>
      </w:pPr>
      <w:r>
        <w:rPr/>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Account Number: </w:t>
      </w:r>
      <w:r>
        <w:rPr>
          <w:rFonts w:ascii="Times New Roman;Times;serif" w:hAnsi="Times New Roman;Times;serif"/>
          <w:color w:val="000000"/>
          <w:sz w:val="20"/>
          <w:u w:val="single"/>
        </w:rPr>
        <w:t xml:space="preserve">                                      </w:t>
      </w:r>
    </w:p>
    <w:p>
      <w:pPr>
        <w:pStyle w:val="TextBody"/>
        <w:bidi w:val="0"/>
        <w:spacing w:before="0" w:after="0"/>
        <w:jc w:val="left"/>
        <w:rPr/>
      </w:pPr>
      <w:r>
        <w:rPr/>
      </w:r>
    </w:p>
    <w:p>
      <w:pPr>
        <w:pStyle w:val="HorizontalLine"/>
        <w:bidi w:val="0"/>
        <w:jc w:val="left"/>
        <w:rPr/>
      </w:pPr>
      <w:r>
        <w:rPr/>
      </w:r>
    </w:p>
    <w:p>
      <w:pPr>
        <w:pStyle w:val="HorizontalLine"/>
        <w:bidi w:val="0"/>
        <w:jc w:val="left"/>
        <w:rPr/>
      </w:pPr>
      <w:r>
        <w:rPr/>
      </w:r>
      <w:bookmarkStart w:id="107" w:name="exhibit_4-5.htm"/>
      <w:bookmarkStart w:id="108" w:name="ksexhibit_45"/>
      <w:bookmarkStart w:id="109" w:name="exhibit_4-5.htm"/>
      <w:bookmarkStart w:id="110" w:name="ksexhibit_45"/>
      <w:bookmarkEnd w:id="109"/>
      <w:bookmarkEnd w:id="110"/>
      <w:r>
        <w:br w:type="page"/>
      </w:r>
    </w:p>
    <w:p>
      <w:pPr>
        <w:pStyle w:val="TextBody"/>
        <w:bidi w:val="0"/>
        <w:spacing w:before="0" w:after="0"/>
        <w:jc w:val="right"/>
        <w:rPr>
          <w:rFonts w:ascii="Times New Roman;Times;serif" w:hAnsi="Times New Roman;Times;serif"/>
          <w:b/>
          <w:color w:val="000000"/>
          <w:sz w:val="20"/>
          <w:u w:val="single"/>
        </w:rPr>
      </w:pPr>
      <w:r>
        <w:rPr>
          <w:rFonts w:ascii="Times New Roman;Times;serif" w:hAnsi="Times New Roman;Times;serif"/>
          <w:b/>
          <w:color w:val="000000"/>
          <w:sz w:val="20"/>
          <w:u w:val="single"/>
        </w:rPr>
        <w:t>Exhibit 4.5</w:t>
      </w:r>
    </w:p>
    <w:p>
      <w:pPr>
        <w:pStyle w:val="TextBody"/>
        <w:bidi w:val="0"/>
        <w:spacing w:before="0" w:after="0"/>
        <w:jc w:val="left"/>
        <w:rPr/>
      </w:pPr>
      <w:r>
        <w:rPr/>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NEITHER THIS SECURITY NOR THE SECURITIES FOR WHICH THIS SECURITY IS EXERCISABLE HAVE BEEN REGISTERED WITH THE SECURITIES AND EXCHANGE COMMISSION OR THE SECURITIES COMMISSION OF ANY STATE IN RELIANCE UPON AN EXEMPTION FROM REGISTRATION UNDER THE SECURITIES ACT OF 1933, AS AMENDED (THE “SECURITIES ACT”),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  THIS SECURITY AND THE SECURITIES ISSUABLE UPON EXERCISE OF THIS SECURITY MAY BE PLEDGED IN CONNECTION WITH A BONA FIDE MARGIN ACCOUNT OR OTHER LOAN SECURED BY SUCH SECURITIES.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ORDINARY SHARE PURCHASE WARRANT</w:t>
      </w:r>
    </w:p>
    <w:p>
      <w:pPr>
        <w:pStyle w:val="TextBody"/>
        <w:bidi w:val="0"/>
        <w:spacing w:lineRule="auto" w:line="300" w:before="0" w:after="0"/>
        <w:jc w:val="left"/>
        <w:rPr/>
      </w:pPr>
      <w:r>
        <w:rPr/>
      </w:r>
    </w:p>
    <w:p>
      <w:pPr>
        <w:pStyle w:val="TextBody"/>
        <w:bidi w:val="0"/>
        <w:spacing w:lineRule="auto" w:line="300" w:before="0" w:after="0"/>
        <w:jc w:val="center"/>
        <w:rPr>
          <w:color w:val="000000"/>
        </w:rPr>
      </w:pPr>
      <w:r>
        <w:rPr>
          <w:color w:val="000000"/>
        </w:rPr>
        <w:t> </w:t>
      </w:r>
      <w:r>
        <w:rPr>
          <w:rFonts w:ascii="Times New Roman;Times;serif" w:hAnsi="Times New Roman;Times;serif"/>
          <w:b/>
          <w:color w:val="000000"/>
          <w:sz w:val="20"/>
        </w:rPr>
        <w:t>LIFEWARD LTD.</w:t>
      </w:r>
    </w:p>
    <w:p>
      <w:pPr>
        <w:pStyle w:val="TextBody"/>
        <w:bidi w:val="0"/>
        <w:spacing w:lineRule="auto" w:line="300" w:before="0" w:after="0"/>
        <w:jc w:val="left"/>
        <w:rPr>
          <w:color w:val="000000"/>
        </w:rPr>
      </w:pPr>
      <w:r>
        <w:rPr>
          <w:color w:val="000000"/>
        </w:rPr>
        <w:t xml:space="preserve">  </w:t>
      </w:r>
      <w:bookmarkStart w:id="111" w:name="za61bb43090974c67be2d1318aeaf8709"/>
      <w:bookmarkEnd w:id="111"/>
    </w:p>
    <w:tbl>
      <w:tblPr>
        <w:tblW w:w="4810" w:type="dxa"/>
        <w:jc w:val="left"/>
        <w:tblInd w:w="0" w:type="dxa"/>
        <w:tblLayout w:type="fixed"/>
        <w:tblCellMar>
          <w:top w:w="0" w:type="dxa"/>
          <w:left w:w="0" w:type="dxa"/>
          <w:bottom w:w="0" w:type="dxa"/>
          <w:right w:w="0" w:type="dxa"/>
        </w:tblCellMar>
      </w:tblPr>
      <w:tblGrid>
        <w:gridCol w:w="2075"/>
        <w:gridCol w:w="2735"/>
      </w:tblGrid>
      <w:tr>
        <w:trPr/>
        <w:tc>
          <w:tcPr>
            <w:tcW w:w="20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Warrant Shares: _______</w:t>
            </w:r>
          </w:p>
        </w:tc>
        <w:tc>
          <w:tcPr>
            <w:tcW w:w="27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Initial Exercise Date: [________]</w:t>
            </w:r>
          </w:p>
        </w:tc>
      </w:tr>
    </w:tbl>
    <w:p>
      <w:pPr>
        <w:pStyle w:val="TextBody"/>
        <w:bidi w:val="0"/>
        <w:spacing w:before="0" w:after="0"/>
        <w:jc w:val="left"/>
        <w:rPr/>
      </w:pPr>
      <w:r>
        <w:rPr/>
      </w:r>
    </w:p>
    <w:p>
      <w:pPr>
        <w:pStyle w:val="TextBody"/>
        <w:bidi w:val="0"/>
        <w:spacing w:lineRule="auto" w:line="24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THIS ORDINARY SHARE PURCHASE WARRANT (the “</w:t>
      </w:r>
      <w:r>
        <w:rPr>
          <w:rFonts w:ascii="Times New Roman;Times;serif" w:hAnsi="Times New Roman;Times;serif"/>
          <w:color w:val="000000"/>
          <w:sz w:val="20"/>
          <w:u w:val="single"/>
        </w:rPr>
        <w:t>Warrant</w:t>
      </w:r>
      <w:r>
        <w:rPr>
          <w:rFonts w:ascii="Times New Roman;Times;serif" w:hAnsi="Times New Roman;Times;serif"/>
          <w:color w:val="000000"/>
          <w:sz w:val="20"/>
        </w:rPr>
        <w:t>”) certifies that, for value received, [  ] or its assigns (the “</w:t>
      </w:r>
      <w:r>
        <w:rPr>
          <w:rFonts w:ascii="Times New Roman;Times;serif" w:hAnsi="Times New Roman;Times;serif"/>
          <w:color w:val="000000"/>
          <w:sz w:val="20"/>
          <w:u w:val="single"/>
        </w:rPr>
        <w:t>Holder</w:t>
      </w:r>
      <w:r>
        <w:rPr>
          <w:rFonts w:ascii="Times New Roman;Times;serif" w:hAnsi="Times New Roman;Times;serif"/>
          <w:color w:val="000000"/>
          <w:sz w:val="20"/>
        </w:rPr>
        <w:t>”) is entitled, upon the terms and subject to the limitations on exercise and the conditions hereinafter set forth, at any time on or after the date set forth above (the “</w:t>
      </w:r>
      <w:r>
        <w:rPr>
          <w:rFonts w:ascii="Times New Roman;Times;serif" w:hAnsi="Times New Roman;Times;serif"/>
          <w:color w:val="000000"/>
          <w:sz w:val="20"/>
          <w:u w:val="single"/>
        </w:rPr>
        <w:t>Initial Exercise Date</w:t>
      </w:r>
      <w:r>
        <w:rPr>
          <w:rFonts w:ascii="Times New Roman;Times;serif" w:hAnsi="Times New Roman;Times;serif"/>
          <w:color w:val="000000"/>
          <w:sz w:val="20"/>
        </w:rPr>
        <w:t>”) and on or prior to 5:00 p.m. (New York City time) on [______]1 (the “</w:t>
      </w:r>
      <w:r>
        <w:rPr>
          <w:rFonts w:ascii="Times New Roman;Times;serif" w:hAnsi="Times New Roman;Times;serif"/>
          <w:color w:val="000000"/>
          <w:sz w:val="20"/>
          <w:u w:val="single"/>
        </w:rPr>
        <w:t>Termination Date</w:t>
      </w:r>
      <w:r>
        <w:rPr>
          <w:rFonts w:ascii="Times New Roman;Times;serif" w:hAnsi="Times New Roman;Times;serif"/>
          <w:color w:val="000000"/>
          <w:sz w:val="20"/>
        </w:rPr>
        <w:t>”) but not thereafter, to subscribe for and purchase from Lifeward Ltd., an Israeli company (the “</w:t>
      </w:r>
      <w:r>
        <w:rPr>
          <w:rFonts w:ascii="Times New Roman;Times;serif" w:hAnsi="Times New Roman;Times;serif"/>
          <w:color w:val="000000"/>
          <w:sz w:val="20"/>
          <w:u w:val="single"/>
        </w:rPr>
        <w:t>Company</w:t>
      </w:r>
      <w:r>
        <w:rPr>
          <w:rFonts w:ascii="Times New Roman;Times;serif" w:hAnsi="Times New Roman;Times;serif"/>
          <w:color w:val="000000"/>
          <w:sz w:val="20"/>
        </w:rPr>
        <w:t>”), up to [  ] (as subject to adjustment hereunder, the “</w:t>
      </w:r>
      <w:r>
        <w:rPr>
          <w:rFonts w:ascii="Times New Roman;Times;serif" w:hAnsi="Times New Roman;Times;serif"/>
          <w:color w:val="000000"/>
          <w:sz w:val="20"/>
          <w:u w:val="single"/>
        </w:rPr>
        <w:t>Warrant Shares</w:t>
      </w:r>
      <w:r>
        <w:rPr>
          <w:rFonts w:ascii="Times New Roman;Times;serif" w:hAnsi="Times New Roman;Times;serif"/>
          <w:color w:val="000000"/>
          <w:sz w:val="20"/>
        </w:rPr>
        <w:t>”) of the Company’s Ordinary Shares.  The purchase price of one Ordinary Share under this Warrant shall be equal to the Exercise Price, as defined in Section 2(b).</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u w:val="single"/>
        </w:rPr>
        <w:t>Section 1</w:t>
      </w:r>
      <w:r>
        <w:rPr>
          <w:rFonts w:ascii="Times New Roman;Times;serif" w:hAnsi="Times New Roman;Times;serif"/>
          <w:color w:val="000000"/>
          <w:sz w:val="20"/>
        </w:rPr>
        <w:t>.          </w:t>
      </w:r>
      <w:r>
        <w:rPr>
          <w:rFonts w:ascii="Times New Roman;Times;serif" w:hAnsi="Times New Roman;Times;serif"/>
          <w:color w:val="000000"/>
          <w:sz w:val="20"/>
          <w:u w:val="single"/>
        </w:rPr>
        <w:t>Definitions</w:t>
      </w:r>
      <w:r>
        <w:rPr>
          <w:rFonts w:ascii="Times New Roman;Times;serif" w:hAnsi="Times New Roman;Times;serif"/>
          <w:color w:val="000000"/>
          <w:sz w:val="20"/>
        </w:rPr>
        <w:t>.  Capitalized terms used and not otherwise defined herein shall have the meanings set forth in that certain Securities Purchase Agreement (the “</w:t>
      </w:r>
      <w:r>
        <w:rPr>
          <w:rFonts w:ascii="Times New Roman;Times;serif" w:hAnsi="Times New Roman;Times;serif"/>
          <w:color w:val="000000"/>
          <w:sz w:val="20"/>
          <w:u w:val="single"/>
        </w:rPr>
        <w:t>Purchase Agreement</w:t>
      </w:r>
      <w:r>
        <w:rPr>
          <w:rFonts w:ascii="Times New Roman;Times;serif" w:hAnsi="Times New Roman;Times;serif"/>
          <w:color w:val="000000"/>
          <w:sz w:val="20"/>
        </w:rPr>
        <w:t>”), dated June 30, 2026, among the Company and the purchasers signatory thereto.</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u w:val="single"/>
        </w:rPr>
        <w:t>Section 2</w:t>
      </w:r>
      <w:r>
        <w:rPr>
          <w:rFonts w:ascii="Times New Roman;Times;serif" w:hAnsi="Times New Roman;Times;serif"/>
          <w:color w:val="000000"/>
          <w:sz w:val="20"/>
        </w:rPr>
        <w:t>.          </w:t>
      </w:r>
      <w:r>
        <w:rPr>
          <w:rFonts w:ascii="Times New Roman;Times;serif" w:hAnsi="Times New Roman;Times;serif"/>
          <w:color w:val="000000"/>
          <w:sz w:val="20"/>
          <w:u w:val="single"/>
        </w:rPr>
        <w:t>Exercise</w:t>
      </w:r>
      <w:r>
        <w:rPr>
          <w:rFonts w:ascii="Times New Roman;Times;serif" w:hAnsi="Times New Roman;Times;serif"/>
          <w:color w:val="000000"/>
          <w:sz w:val="20"/>
        </w:rPr>
        <w:t>.</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a)          </w:t>
      </w:r>
      <w:r>
        <w:rPr>
          <w:rFonts w:ascii="Times New Roman;Times;serif" w:hAnsi="Times New Roman;Times;serif"/>
          <w:color w:val="000000"/>
          <w:sz w:val="20"/>
          <w:u w:val="single"/>
        </w:rPr>
        <w:t>Exercise of Warrant</w:t>
      </w:r>
      <w:r>
        <w:rPr>
          <w:rFonts w:ascii="Times New Roman;Times;serif" w:hAnsi="Times New Roman;Times;serif"/>
          <w:color w:val="000000"/>
          <w:sz w:val="20"/>
        </w:rPr>
        <w:t>.  Exercise of the purchase rights represented by this Warrant may be made, in whole or in part, at any time or times on or after the Initial Exercise Date and on or before the Termination Date by delivery to the Company of a duly executed PDF copy submitted by e-mail (or e-mail attachment) of the Notice of Exercise in the form annexed hereto (the “</w:t>
      </w:r>
      <w:r>
        <w:rPr>
          <w:rFonts w:ascii="Times New Roman;Times;serif" w:hAnsi="Times New Roman;Times;serif"/>
          <w:color w:val="000000"/>
          <w:sz w:val="20"/>
          <w:u w:val="single"/>
        </w:rPr>
        <w:t>Notice of Exercise</w:t>
      </w:r>
      <w:r>
        <w:rPr>
          <w:rFonts w:ascii="Times New Roman;Times;serif" w:hAnsi="Times New Roman;Times;serif"/>
          <w:color w:val="000000"/>
          <w:sz w:val="20"/>
        </w:rPr>
        <w:t xml:space="preserve">”).  Within the earlier of (i) one (1) Trading Day and (ii) the number of Trading Days comprising the Standard Settlement Period (as defined in Section 2(d)(i) herein), in each case following the date of exercise as aforesaid, the Holder shall deliver the aggregate Exercise Price for the Warrant Shares specified in the applicable Notice of Exercise by wire transfer or cashier’s check drawn on a United States bank unless the cashless exercise procedure specified in Section 2(c) below is specified in the applicable Notice of Exercise.  No ink-original Notice of Exercise shall be required, nor shall any medallion guarantee (or other type of guarantee or notarization) of any Notice of Exercise be required.  Notwithstanding anything herein to the contrary, the Holder shall not be required to physically surrender this Warrant to the Company until the Holder has purchased all of the Warrant Shares available hereunder and the Warrant has been exercised in full, in which case, the Holder shall surrender this Warrant to the Company for cancellation as soon as reasonably practicable following the date on which the final Notice of Exercise is delivered to the Company.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 the Company shall maintain records showing the number of Warrant Shares purchased and the date of such purchases.  The Company shall deliver any objection to any Notice of Exercise within one (1) Trading Day of receipt of such notice.  </w:t>
      </w:r>
      <w:r>
        <w:rPr>
          <w:rFonts w:ascii="Times New Roman;Times;serif" w:hAnsi="Times New Roman;Times;serif"/>
          <w:b/>
          <w:color w:val="000000"/>
          <w:sz w:val="20"/>
        </w:rPr>
        <w:t>The Holder and any assignee, by acceptance of this Warrant, acknowledge and agree that, by reason of the provisions of this paragraph, following the purchase of a portion of the Warrant Shares hereunder, the number of Warrant Shares available for purchase hereunder at any given time may be less than the amount stated on the face hereof.</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b)          </w:t>
      </w:r>
      <w:r>
        <w:rPr>
          <w:rFonts w:ascii="Times New Roman;Times;serif" w:hAnsi="Times New Roman;Times;serif"/>
          <w:color w:val="000000"/>
          <w:sz w:val="20"/>
          <w:u w:val="single"/>
        </w:rPr>
        <w:t>Exercise Price</w:t>
      </w:r>
      <w:r>
        <w:rPr>
          <w:rFonts w:ascii="Times New Roman;Times;serif" w:hAnsi="Times New Roman;Times;serif"/>
          <w:color w:val="000000"/>
          <w:sz w:val="20"/>
        </w:rPr>
        <w:t xml:space="preserve">.  The exercise price per Ordinary Share under this Warrant shall be </w:t>
      </w:r>
      <w:r>
        <w:rPr>
          <w:rFonts w:ascii="Times New Roman;Times;serif" w:hAnsi="Times New Roman;Times;serif"/>
          <w:b/>
          <w:color w:val="000000"/>
          <w:sz w:val="20"/>
        </w:rPr>
        <w:t>$5.40</w:t>
      </w:r>
      <w:r>
        <w:rPr>
          <w:rFonts w:ascii="Times New Roman;Times;serif" w:hAnsi="Times New Roman;Times;serif"/>
          <w:color w:val="000000"/>
          <w:sz w:val="20"/>
        </w:rPr>
        <w:t>, subject to adjustment hereunder (the “</w:t>
      </w:r>
      <w:r>
        <w:rPr>
          <w:rFonts w:ascii="Times New Roman;Times;serif" w:hAnsi="Times New Roman;Times;serif"/>
          <w:color w:val="000000"/>
          <w:sz w:val="20"/>
          <w:u w:val="single"/>
        </w:rPr>
        <w:t>Exercise Price</w:t>
      </w:r>
      <w:r>
        <w:rPr>
          <w:rFonts w:ascii="Times New Roman;Times;serif" w:hAnsi="Times New Roman;Times;serif"/>
          <w:color w:val="000000"/>
          <w:sz w:val="20"/>
        </w:rPr>
        <w:t>”).</w:t>
      </w:r>
    </w:p>
    <w:p>
      <w:pPr>
        <w:pStyle w:val="TextBody"/>
        <w:bidi w:val="0"/>
        <w:jc w:val="left"/>
        <w:rPr/>
      </w:pPr>
      <w:r>
        <w:rPr/>
      </w:r>
    </w:p>
    <w:p>
      <w:pPr>
        <w:pStyle w:val="HorizontalLine"/>
        <w:pBdr>
          <w:bottom w:val="single" w:sz="12" w:space="0" w:color="808080"/>
        </w:pBdr>
        <w:bidi w:val="0"/>
        <w:jc w:val="left"/>
        <w:rPr/>
      </w:pPr>
      <w:r>
        <w:rPr/>
      </w:r>
    </w:p>
    <w:p>
      <w:pPr>
        <w:pStyle w:val="TextBody"/>
        <w:bidi w:val="0"/>
        <w:spacing w:lineRule="auto" w:line="240" w:before="0" w:after="0"/>
        <w:jc w:val="both"/>
        <w:rPr>
          <w:rFonts w:ascii="Times New Roman;Times;serif" w:hAnsi="Times New Roman;Times;serif"/>
          <w:color w:val="000000"/>
          <w:sz w:val="20"/>
        </w:rPr>
      </w:pPr>
      <w:r>
        <w:rPr>
          <w:rFonts w:ascii="Times New Roman;Times;serif" w:hAnsi="Times New Roman;Times;serif"/>
          <w:color w:val="000000"/>
          <w:sz w:val="20"/>
        </w:rPr>
        <w:t>1 Insert the date that is the five (5) year anniversary of the Initial Exercise Date, provided that, if such date is not a Trading Day, insert the immediately following Trading Day.</w:t>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TextBody"/>
        <w:bidi w:val="0"/>
        <w:spacing w:lineRule="auto" w:line="300"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c)          </w:t>
      </w:r>
      <w:r>
        <w:rPr>
          <w:rFonts w:ascii="Times New Roman;Times;serif" w:hAnsi="Times New Roman;Times;serif"/>
          <w:color w:val="000000"/>
          <w:sz w:val="20"/>
          <w:u w:val="single"/>
        </w:rPr>
        <w:t>Cashless Exercise</w:t>
      </w:r>
      <w:r>
        <w:rPr>
          <w:rFonts w:ascii="Times New Roman;Times;serif" w:hAnsi="Times New Roman;Times;serif"/>
          <w:color w:val="000000"/>
          <w:sz w:val="20"/>
        </w:rPr>
        <w:t>.  At any time, this Warrant may also be exercised, in whole or in part, by means of a “cashless exercise” in which the Holder shall be entitled to receive a number of Warrant Shares equal to the quotient obtained by dividing [(A-B) (X)] by (A), where:</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2070" w:right="0" w:hanging="630"/>
        <w:jc w:val="both"/>
        <w:rPr>
          <w:rFonts w:ascii="Times New Roman;Times;serif" w:hAnsi="Times New Roman;Times;serif"/>
          <w:color w:val="000000"/>
          <w:sz w:val="20"/>
        </w:rPr>
      </w:pPr>
      <w:r>
        <w:rPr>
          <w:rFonts w:ascii="Times New Roman;Times;serif" w:hAnsi="Times New Roman;Times;serif"/>
          <w:color w:val="000000"/>
          <w:sz w:val="20"/>
        </w:rPr>
        <w:t>(A) = as applicable: (i) the VWAP on the Trading Day immediately preceding the date of the applicable Notice of Exercise if such Notice of Exercise is (1) both executed and delivered pursuant to Section 2(a) hereof on a day that is not a Trading Day or (2) both executed and delivered pursuant to Section 2(a) hereof on a Trading Day prior to the opening of “regular trading hours” (as defined in Rule 600(b) of Regulation NMS promulgated under the federal securities laws) on such Trading Day, (ii) at the option of the Holder, either (y) the VWAP on the Trading Day immediately preceding the date of the applicable Notice of Exercise or (z) the Bid Price of the Ordinary Shares on the principal Trading Market as reported by Bloomberg L.P. (“</w:t>
      </w:r>
      <w:r>
        <w:rPr>
          <w:rFonts w:ascii="Times New Roman;Times;serif" w:hAnsi="Times New Roman;Times;serif"/>
          <w:color w:val="000000"/>
          <w:sz w:val="20"/>
          <w:u w:val="single"/>
        </w:rPr>
        <w:t>Bloomberg</w:t>
      </w:r>
      <w:r>
        <w:rPr>
          <w:rFonts w:ascii="Times New Roman;Times;serif" w:hAnsi="Times New Roman;Times;serif"/>
          <w:color w:val="000000"/>
          <w:sz w:val="20"/>
        </w:rPr>
        <w:t>”) as of the time of the Holder’s execution of the applicable Notice of Exercise if such Notice of Exercise is executed during “regular trading hours” on a Trading Day and is delivered within two (2) hours thereafter (including until two (2) hours after the close of “regular trading hours” on a Trading Day) pursuant to Section 2(a) hereof or (iii) the VWAP on the date of the applicable Notice of Exercise if the date of such Notice of Exercise is a Trading Day and such Notice of Exercise is both executed and delivered pursuant to Section 2(a) hereof after the close of “regular trading hours” on such Trading Day;</w:t>
      </w:r>
    </w:p>
    <w:p>
      <w:pPr>
        <w:pStyle w:val="TextBody"/>
        <w:bidi w:val="0"/>
        <w:spacing w:lineRule="auto" w:line="300" w:before="0" w:after="0"/>
        <w:ind w:left="2160" w:right="0" w:hanging="720"/>
        <w:jc w:val="both"/>
        <w:rPr>
          <w:rFonts w:ascii="Times New Roman;Times;serif" w:hAnsi="Times New Roman;Times;serif"/>
          <w:sz w:val="20"/>
        </w:rPr>
      </w:pPr>
      <w:r>
        <w:rPr>
          <w:rFonts w:ascii="Times New Roman;Times;serif" w:hAnsi="Times New Roman;Times;serif"/>
          <w:sz w:val="20"/>
        </w:rPr>
      </w:r>
    </w:p>
    <w:p>
      <w:pPr>
        <w:pStyle w:val="TextBody"/>
        <w:bidi w:val="0"/>
        <w:spacing w:lineRule="auto" w:line="300" w:before="0" w:after="0"/>
        <w:ind w:left="2160" w:right="0" w:hanging="720"/>
        <w:jc w:val="both"/>
        <w:rPr>
          <w:rFonts w:ascii="Times New Roman;Times;serif" w:hAnsi="Times New Roman;Times;serif"/>
          <w:color w:val="000000"/>
          <w:sz w:val="20"/>
        </w:rPr>
      </w:pPr>
      <w:r>
        <w:rPr>
          <w:rFonts w:ascii="Times New Roman;Times;serif" w:hAnsi="Times New Roman;Times;serif"/>
          <w:color w:val="000000"/>
          <w:sz w:val="20"/>
        </w:rPr>
        <w:t>(B) = the Exercise Price of this Warrant, as adjusted hereunder; and</w:t>
      </w:r>
    </w:p>
    <w:p>
      <w:pPr>
        <w:pStyle w:val="TextBody"/>
        <w:bidi w:val="0"/>
        <w:spacing w:lineRule="auto" w:line="300" w:before="0" w:after="0"/>
        <w:jc w:val="left"/>
        <w:rPr/>
      </w:pPr>
      <w:r>
        <w:rPr/>
      </w:r>
    </w:p>
    <w:p>
      <w:pPr>
        <w:pStyle w:val="TextBody"/>
        <w:bidi w:val="0"/>
        <w:spacing w:lineRule="auto" w:line="300" w:before="0" w:after="0"/>
        <w:ind w:left="2070" w:right="0" w:hanging="630"/>
        <w:jc w:val="both"/>
        <w:rPr>
          <w:rFonts w:ascii="Times New Roman;Times;serif" w:hAnsi="Times New Roman;Times;serif"/>
          <w:color w:val="000000"/>
          <w:sz w:val="20"/>
        </w:rPr>
      </w:pPr>
      <w:r>
        <w:rPr>
          <w:rFonts w:ascii="Times New Roman;Times;serif" w:hAnsi="Times New Roman;Times;serif"/>
          <w:color w:val="000000"/>
          <w:sz w:val="20"/>
        </w:rPr>
        <w:t>(X) = the number of Warrant Shares that would be issuable upon exercise of this Warrant in accordance with the terms of this Warrant if such exercise were by means of a cash exercise rather than a cashless exercise.</w:t>
      </w:r>
    </w:p>
    <w:p>
      <w:pPr>
        <w:pStyle w:val="TextBody"/>
        <w:bidi w:val="0"/>
        <w:spacing w:lineRule="auto" w:line="300" w:before="0" w:after="0"/>
        <w:jc w:val="left"/>
        <w:rPr/>
      </w:pPr>
      <w:r>
        <w:rPr/>
      </w:r>
    </w:p>
    <w:p>
      <w:pPr>
        <w:pStyle w:val="TextBody"/>
        <w:bidi w:val="0"/>
        <w:spacing w:lineRule="auto" w:line="300" w:before="0" w:after="0"/>
        <w:ind w:left="720" w:right="0" w:firstLine="720"/>
        <w:jc w:val="both"/>
        <w:rPr>
          <w:color w:val="000000"/>
        </w:rPr>
      </w:pPr>
      <w:r>
        <w:rPr>
          <w:color w:val="000000"/>
        </w:rPr>
        <w:t>“</w:t>
      </w:r>
      <w:r>
        <w:rPr>
          <w:rFonts w:ascii="Times New Roman;Times;serif" w:hAnsi="Times New Roman;Times;serif"/>
          <w:color w:val="000000"/>
          <w:sz w:val="20"/>
          <w:u w:val="single"/>
        </w:rPr>
        <w:t>Bid Price</w:t>
      </w:r>
      <w:r>
        <w:rPr>
          <w:rFonts w:ascii="Times New Roman;Times;serif" w:hAnsi="Times New Roman;Times;serif"/>
          <w:color w:val="000000"/>
          <w:sz w:val="20"/>
        </w:rPr>
        <w:t>” means, for any date, the price determined by the first of the following clauses that applies: (a) if the Ordinary Shares are then listed or quoted on a Trading Market, the bid price of the Ordinary Shares for the time in question (or the nearest preceding date) on the Trading Market on which the Ordinary Shares are then listed or quoted as reported by Bloomberg (based on a Trading Day from 9:30 a.m. (New York City time) to 4:02 p.m. (New York City time)), (b)  if OTCQB Venture Market (“</w:t>
      </w:r>
      <w:r>
        <w:rPr>
          <w:rFonts w:ascii="Times New Roman;Times;serif" w:hAnsi="Times New Roman;Times;serif"/>
          <w:color w:val="000000"/>
          <w:sz w:val="20"/>
          <w:u w:val="single"/>
        </w:rPr>
        <w:t>OTCQB</w:t>
      </w:r>
      <w:r>
        <w:rPr>
          <w:rFonts w:ascii="Times New Roman;Times;serif" w:hAnsi="Times New Roman;Times;serif"/>
          <w:color w:val="000000"/>
          <w:sz w:val="20"/>
        </w:rPr>
        <w:t>”) or the OTCQX Best Market (“</w:t>
      </w:r>
      <w:r>
        <w:rPr>
          <w:rFonts w:ascii="Times New Roman;Times;serif" w:hAnsi="Times New Roman;Times;serif"/>
          <w:color w:val="000000"/>
          <w:sz w:val="20"/>
          <w:u w:val="single"/>
        </w:rPr>
        <w:t>OTCQX</w:t>
      </w:r>
      <w:r>
        <w:rPr>
          <w:rFonts w:ascii="Times New Roman;Times;serif" w:hAnsi="Times New Roman;Times;serif"/>
          <w:color w:val="000000"/>
          <w:sz w:val="20"/>
        </w:rPr>
        <w:t>”) is not a Trading Market, the volume weighted average price of the Ordinary Shares for such date (or the nearest preceding date) on OTCQB or OTCQX as applicable, (c) if the Ordinary Shares are not then listed or quoted for trading on OTCQB or OTCQX and if prices for the Ordinary Shares are then reported on the Pink Open Market (“</w:t>
      </w:r>
      <w:r>
        <w:rPr>
          <w:rFonts w:ascii="Times New Roman;Times;serif" w:hAnsi="Times New Roman;Times;serif"/>
          <w:color w:val="000000"/>
          <w:sz w:val="20"/>
          <w:u w:val="single"/>
        </w:rPr>
        <w:t>Pink Market</w:t>
      </w:r>
      <w:r>
        <w:rPr>
          <w:rFonts w:ascii="Times New Roman;Times;serif" w:hAnsi="Times New Roman;Times;serif"/>
          <w:color w:val="000000"/>
          <w:sz w:val="20"/>
        </w:rPr>
        <w:t>”) operated by the OTC Markets, Inc. (or a similar organization or agency succeeding to its functions of reporting prices), the most recent bid price per Ordinary Share so reported, or (d) in all other cases, the fair market value of an Ordinary Share as determined by an independent appraiser selected in good faith by the Holders of a majority in interest of the Securities then outstanding and reasonably acceptable to the Company, the fees and expenses of which shall be paid by the Company.</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color w:val="000000"/>
        </w:rPr>
      </w:pPr>
      <w:r>
        <w:rPr>
          <w:color w:val="000000"/>
        </w:rPr>
        <w:t>“</w:t>
      </w:r>
      <w:r>
        <w:rPr>
          <w:rFonts w:ascii="Times New Roman;Times;serif" w:hAnsi="Times New Roman;Times;serif"/>
          <w:color w:val="000000"/>
          <w:sz w:val="20"/>
          <w:u w:val="single"/>
        </w:rPr>
        <w:t>VWAP</w:t>
      </w:r>
      <w:r>
        <w:rPr>
          <w:rFonts w:ascii="Times New Roman;Times;serif" w:hAnsi="Times New Roman;Times;serif"/>
          <w:color w:val="000000"/>
          <w:sz w:val="20"/>
        </w:rPr>
        <w:t>” means, for any date, the price determined by the first of the following clauses that applies: (a) if the Ordinary Shares are then listed or quoted on a Trading Market, the daily volume weighted average price of the Ordinary Shares for such date (or the nearest preceding date) on the Trading Market on which the Ordinary Shares are then listed or quoted as reported by Bloomberg (based on a Trading Day from 9:30 a.m. (New York City time) to 4:02 p.m. (New York City time)), (b)  if OTCQB or OTCQX is not a Trading Market, the volume weighted average price of the Ordinary Shares for such date (or the nearest preceding date) on OTCQB or OTCQX as applicable, (c) if the Ordinary Shares are not then listed or quoted for trading on OTCQB or OTCQX and if prices for the Ordinary Shares are then reported on the Pink Market operated by the OTC Markets, Inc. (or a similar organization or agency succeeding to its functions of reporting prices), the most recent bid price per Ordinary Share so reported, or (d) in all other cases, the fair market value of an Ordinary Share as determined by an independent appraiser selected in good faith by the Holders of a majority in interest of the Securities then outstanding and reasonably acceptable to the Company, the fees and expenses of which shall be paid by the Company.</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If Warrant Shares are issued in such a cashless exercise, the parties acknowledge and agree that in accordance with Section 3(a)(9) of the Securities Act, the holding period of the Warrant Shares being issued may be tacked on to the holding period of this Warrant.  The Company agrees not to take any position contrary to this Section 2(c).</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112" w:name="z9127417cd890467db2e558369c0bd5b2"/>
      <w:bookmarkStart w:id="113" w:name="z9127417cd890467db2e558369c0bd5b2"/>
      <w:bookmarkEnd w:id="113"/>
    </w:p>
    <w:tbl>
      <w:tblPr>
        <w:tblW w:w="2133" w:type="dxa"/>
        <w:jc w:val="left"/>
        <w:tblInd w:w="0" w:type="dxa"/>
        <w:tblLayout w:type="fixed"/>
        <w:tblCellMar>
          <w:top w:w="0" w:type="dxa"/>
          <w:left w:w="0" w:type="dxa"/>
          <w:bottom w:w="0" w:type="dxa"/>
          <w:right w:w="0" w:type="dxa"/>
        </w:tblCellMar>
      </w:tblPr>
      <w:tblGrid>
        <w:gridCol w:w="38"/>
        <w:gridCol w:w="185"/>
        <w:gridCol w:w="1910"/>
      </w:tblGrid>
      <w:tr>
        <w:trPr/>
        <w:tc>
          <w:tcPr>
            <w:tcW w:w="38" w:type="dxa"/>
            <w:tcBorders/>
            <w:vAlign w:val="center"/>
          </w:tcPr>
          <w:p>
            <w:pPr>
              <w:pStyle w:val="TableContents"/>
              <w:bidi w:val="0"/>
              <w:spacing w:before="0" w:after="283"/>
              <w:jc w:val="left"/>
              <w:rPr/>
            </w:pPr>
            <w:r>
              <w:rPr/>
            </w:r>
          </w:p>
        </w:tc>
        <w:tc>
          <w:tcPr>
            <w:tcW w:w="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191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u w:val="single"/>
              </w:rPr>
              <w:t>Mechanics of Exercise</w:t>
            </w:r>
            <w:r>
              <w:rPr>
                <w:rFonts w:ascii="Times New Roman;Times;serif" w:hAnsi="Times New Roman;Times;serif"/>
                <w:sz w:val="20"/>
              </w:rPr>
              <w:t>.</w:t>
            </w:r>
          </w:p>
        </w:tc>
      </w:tr>
    </w:tbl>
    <w:p>
      <w:pPr>
        <w:pStyle w:val="TextBody"/>
        <w:bidi w:val="0"/>
        <w:spacing w:lineRule="auto" w:line="300" w:before="0" w:after="0"/>
        <w:jc w:val="left"/>
        <w:rPr>
          <w:color w:val="000000"/>
        </w:rPr>
      </w:pPr>
      <w:r>
        <w:rPr>
          <w:color w:val="000000"/>
        </w:rPr>
        <w:t> </w:t>
      </w:r>
    </w:p>
    <w:p>
      <w:pPr>
        <w:pStyle w:val="TextBody"/>
        <w:bidi w:val="0"/>
        <w:spacing w:lineRule="auto" w:line="240" w:before="0" w:after="0"/>
        <w:ind w:left="2160" w:right="0" w:firstLine="720"/>
        <w:jc w:val="both"/>
        <w:rPr>
          <w:rFonts w:ascii="Times New Roman;Times;serif" w:hAnsi="Times New Roman;Times;serif"/>
          <w:color w:val="000000"/>
          <w:sz w:val="20"/>
        </w:rPr>
      </w:pPr>
      <w:r>
        <w:rPr>
          <w:rFonts w:ascii="Times New Roman;Times;serif" w:hAnsi="Times New Roman;Times;serif"/>
          <w:color w:val="000000"/>
          <w:sz w:val="20"/>
        </w:rPr>
        <w:t>i.          </w:t>
      </w:r>
      <w:r>
        <w:rPr>
          <w:rFonts w:ascii="Times New Roman;Times;serif" w:hAnsi="Times New Roman;Times;serif"/>
          <w:color w:val="000000"/>
          <w:sz w:val="20"/>
          <w:u w:val="single"/>
        </w:rPr>
        <w:t>Delivery of Warrant Shares Upon Exercise</w:t>
      </w:r>
      <w:r>
        <w:rPr>
          <w:rFonts w:ascii="Times New Roman;Times;serif" w:hAnsi="Times New Roman;Times;serif"/>
          <w:color w:val="000000"/>
          <w:sz w:val="20"/>
        </w:rPr>
        <w:t>.  The Company shall cause the Warrant Shares purchased hereunder to be transmitted by the Transfer Agent to the Holder by crediting the account of the Holder’s or its designee’s balance account with The Depository Trust Company through its Deposit or Withdrawal at Custodian system (“</w:t>
      </w:r>
      <w:r>
        <w:rPr>
          <w:rFonts w:ascii="Times New Roman;Times;serif" w:hAnsi="Times New Roman;Times;serif"/>
          <w:color w:val="000000"/>
          <w:sz w:val="20"/>
          <w:u w:val="single"/>
        </w:rPr>
        <w:t>DWAC</w:t>
      </w:r>
      <w:r>
        <w:rPr>
          <w:rFonts w:ascii="Times New Roman;Times;serif" w:hAnsi="Times New Roman;Times;serif"/>
          <w:color w:val="000000"/>
          <w:sz w:val="20"/>
        </w:rPr>
        <w:t>”) if the Company is then a participant in such system and either (A) there is an effective registration statement permitting the issuance of the Warrant Shares to or resale of the Warrant Shares by the Holder or (B) the Warrant Shares are eligible for resale by the Holder without volume or manner-of-sale limitations pursuant to Rule 144 (assuming cashless exercise of the Warrants), and otherwise by physical delivery of a certificate or a book-entry certificate, registered in the Company’s share register in the name of the Holder or its designee, for the number of Warrant Shares to which the Holder is entitled pursuant to such exercise to the address specified by the Holder in the Notice of Exercise by the date that is the earlier of (i) one (1) Trading Day and (ii) the number of Trading Days comprising the Standard Settlement Period, in each case after the delivery to the Company of the Notice of Exercise (such date, the “</w:t>
      </w:r>
      <w:r>
        <w:rPr>
          <w:rFonts w:ascii="Times New Roman;Times;serif" w:hAnsi="Times New Roman;Times;serif"/>
          <w:color w:val="000000"/>
          <w:sz w:val="20"/>
          <w:u w:val="single"/>
        </w:rPr>
        <w:t>Warrant Share Delivery Date</w:t>
      </w:r>
      <w:r>
        <w:rPr>
          <w:rFonts w:ascii="Times New Roman;Times;serif" w:hAnsi="Times New Roman;Times;serif"/>
          <w:color w:val="000000"/>
          <w:sz w:val="20"/>
        </w:rPr>
        <w:t>”).  Upon delivery of the Notice of Exercise, the Holder shall be deemed for all corporate purposes to have become the holder of record of the Warrant Shares with respect to which this Warrant has been exercised, irrespective of the date of delivery of the Warrant Shares, provided that payment of the aggregate Exercise Price (other than in the case of a cashless exercise) is received within the earlier of (i) one (1) Trading Day and (ii) the number of Trading Days comprising the Standard Settlement Period, in each case after the delivery to the Company of the Notice of Exercise.  If the Company fails for any reason to deliver to the Holder the Warrant Shares subject to a Notice of Exercise by the Warrant Share Delivery Date, the Company shall pay to the Holder, in cash, as liquidated damages and not as a penalty, for each $1,000 of Warrant Shares subject to such exercise (based on the VWAP of the Ordinary Shares on the date of the applicable Notice of Exercise), $10 per Trading Day (increasing to $20 per Trading Day on the third (3rd) Trading Day after the Warrant Share Delivery Date) for each Trading Day after such Warrant Share Delivery Date until such Warrant Shares are delivered or Holder rescinds such exercise.  The Company agrees to maintain a transfer agent that is a participant in the FAST program so long as this Warrant remains outstanding and exercisable.  As used herein, “</w:t>
      </w:r>
      <w:r>
        <w:rPr>
          <w:rFonts w:ascii="Times New Roman;Times;serif" w:hAnsi="Times New Roman;Times;serif"/>
          <w:color w:val="000000"/>
          <w:sz w:val="20"/>
          <w:u w:val="single"/>
        </w:rPr>
        <w:t>Standard Settlement Period</w:t>
      </w:r>
      <w:r>
        <w:rPr>
          <w:rFonts w:ascii="Times New Roman;Times;serif" w:hAnsi="Times New Roman;Times;serif"/>
          <w:color w:val="000000"/>
          <w:sz w:val="20"/>
        </w:rPr>
        <w:t>” means the standard settlement period, expressed in a number of Trading Days, on the Company’s primary Trading Market with respect to the Ordinary Shares as in effect on the date of delivery of the Notice of Exercise.</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2160" w:right="0" w:firstLine="720"/>
        <w:jc w:val="both"/>
        <w:rPr>
          <w:rFonts w:ascii="Times New Roman;Times;serif" w:hAnsi="Times New Roman;Times;serif"/>
          <w:color w:val="000000"/>
          <w:sz w:val="20"/>
        </w:rPr>
      </w:pPr>
      <w:r>
        <w:rPr>
          <w:rFonts w:ascii="Times New Roman;Times;serif" w:hAnsi="Times New Roman;Times;serif"/>
          <w:color w:val="000000"/>
          <w:sz w:val="20"/>
        </w:rPr>
        <w:t>ii.          </w:t>
      </w:r>
      <w:r>
        <w:rPr>
          <w:rFonts w:ascii="Times New Roman;Times;serif" w:hAnsi="Times New Roman;Times;serif"/>
          <w:color w:val="000000"/>
          <w:sz w:val="20"/>
          <w:u w:val="single"/>
        </w:rPr>
        <w:t>Delivery of New Warrants Upon Exercise</w:t>
      </w:r>
      <w:r>
        <w:rPr>
          <w:rFonts w:ascii="Times New Roman;Times;serif" w:hAnsi="Times New Roman;Times;serif"/>
          <w:color w:val="000000"/>
          <w:sz w:val="20"/>
        </w:rPr>
        <w:t>.  If this Warrant shall have been exercised in part, the Company shall, at the request of a Holder and upon surrender of this Warrant certificate, at the time of delivery of the Warrant Shares, deliver to the Holder a new Warrant evidencing the rights of the Holder to purchase the unpurchased Warrant Shares called for by this Warrant, which new Warrant shall in all other respects be identical with this Warrant.</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2160" w:right="0" w:firstLine="720"/>
        <w:jc w:val="both"/>
        <w:rPr>
          <w:rFonts w:ascii="Times New Roman;Times;serif" w:hAnsi="Times New Roman;Times;serif"/>
          <w:color w:val="000000"/>
          <w:sz w:val="20"/>
        </w:rPr>
      </w:pPr>
      <w:r>
        <w:rPr>
          <w:rFonts w:ascii="Times New Roman;Times;serif" w:hAnsi="Times New Roman;Times;serif"/>
          <w:color w:val="000000"/>
          <w:sz w:val="20"/>
        </w:rPr>
        <w:t>iii.          </w:t>
      </w:r>
      <w:r>
        <w:rPr>
          <w:rFonts w:ascii="Times New Roman;Times;serif" w:hAnsi="Times New Roman;Times;serif"/>
          <w:color w:val="000000"/>
          <w:sz w:val="20"/>
          <w:u w:val="single"/>
        </w:rPr>
        <w:t>Rescission Rights</w:t>
      </w:r>
      <w:r>
        <w:rPr>
          <w:rFonts w:ascii="Times New Roman;Times;serif" w:hAnsi="Times New Roman;Times;serif"/>
          <w:color w:val="000000"/>
          <w:sz w:val="20"/>
        </w:rPr>
        <w:t>.  If the Company fails to cause the Transfer Agent to transmit to the Holder the Warrant Shares pursuant to Section 2(d)(i) by the Warrant Share Delivery Date, then the Holder will have the right to rescind such exercise.</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2160" w:right="0" w:firstLine="720"/>
        <w:jc w:val="both"/>
        <w:rPr>
          <w:rFonts w:ascii="Times New Roman;Times;serif" w:hAnsi="Times New Roman;Times;serif"/>
          <w:color w:val="000000"/>
          <w:sz w:val="20"/>
        </w:rPr>
      </w:pPr>
      <w:r>
        <w:rPr>
          <w:rFonts w:ascii="Times New Roman;Times;serif" w:hAnsi="Times New Roman;Times;serif"/>
          <w:color w:val="000000"/>
          <w:sz w:val="20"/>
        </w:rPr>
        <w:t>iv.          </w:t>
      </w:r>
      <w:r>
        <w:rPr>
          <w:rFonts w:ascii="Times New Roman;Times;serif" w:hAnsi="Times New Roman;Times;serif"/>
          <w:color w:val="000000"/>
          <w:sz w:val="20"/>
          <w:u w:val="single"/>
        </w:rPr>
        <w:t>Compensation for Buy-In on Failure to Timely Deliver Warrant Shares Upon Exercise</w:t>
      </w:r>
      <w:r>
        <w:rPr>
          <w:rFonts w:ascii="Times New Roman;Times;serif" w:hAnsi="Times New Roman;Times;serif"/>
          <w:color w:val="000000"/>
          <w:sz w:val="20"/>
        </w:rPr>
        <w:t>.  In addition to any other rights available to the Holder, if the Company fails to cause the Transfer Agent to transmit to the Holder the Warrant Shares in accordance with the provisions of Section 2(d)(i) above pursuant to an exercise on or before the Warrant Share Delivery Date, and if after such date the Holder is required by its broker to purchase (in an open market transaction or otherwise) or the Holder’s brokerage firm otherwise purchases, Ordinary Shares to deliver in satisfaction of a sale by the Holder of the Warrant Shares which the Holder anticipated receiving upon such exercise (a “</w:t>
      </w:r>
      <w:r>
        <w:rPr>
          <w:rFonts w:ascii="Times New Roman;Times;serif" w:hAnsi="Times New Roman;Times;serif"/>
          <w:color w:val="000000"/>
          <w:sz w:val="20"/>
          <w:u w:val="single"/>
        </w:rPr>
        <w:t>Buy-In</w:t>
      </w:r>
      <w:r>
        <w:rPr>
          <w:rFonts w:ascii="Times New Roman;Times;serif" w:hAnsi="Times New Roman;Times;serif"/>
          <w:color w:val="000000"/>
          <w:sz w:val="20"/>
        </w:rPr>
        <w:t>”), then the Company shall (A) pay in cash to the Holder the amount, if any, by which (x) the Holder’s total purchase price (including brokerage commissions, if any) for the Ordinary Shares so purchased exceeds (y) the amount obtained by multiplying (1) the number of Warrant Shares that the Company was required to deliver to the Holder in connection with the exercise at issue times (2) the price at which the sell order giving rise to such purchase obligation was executed, and (B) at the option of the Holder, either reinstate the portion of the Warrant and equivalent number of Warrant Shares for which such exercise was not honored (in which case such exercise shall be deemed rescinded) or deliver to the Holder the number of Ordinary Shares that would have been issued had the Company timely complied with its exercise and delivery obligations hereunder.  For example, if the Holder purchases Ordinary Shares having a total purchase price of $11,000 to cover a Buy-In with respect to an attempted exercise of Ordinary Shares with an aggregate sale price giving rise to such purchase obligation of $10,000, under clause (A) of the immediately preceding sentence the Company shall be required to pay the Holder $1,000. The Holder shall provide the Company written notice indicating the amounts payable to the Holder in respect of the Buy-In and, upon request of the Company, evidence of the amount of such loss.  Nothing herein shall limit a Holder’s right to pursue any other remedies available to it hereunder, at law or in equity including, without limitation, a decree of specific performance and/or injunctive relief with respect to the Company’s failure to timely deliver Ordinary Shares upon exercise of the Warrant as required pursuant to the terms hereof.</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3</w:t>
      </w:r>
    </w:p>
    <w:p>
      <w:pPr>
        <w:pStyle w:val="HorizontalLine"/>
        <w:pBdr>
          <w:bottom w:val="single" w:sz="12" w:space="0" w:color="808080"/>
        </w:pBdr>
        <w:bidi w:val="0"/>
        <w:spacing w:before="200" w:after="200"/>
        <w:jc w:val="left"/>
        <w:rPr/>
      </w:pPr>
      <w:r>
        <w:rPr/>
      </w:r>
    </w:p>
    <w:p>
      <w:pPr>
        <w:pStyle w:val="TextBody"/>
        <w:bidi w:val="0"/>
        <w:spacing w:lineRule="auto" w:line="300" w:before="0" w:after="0"/>
        <w:ind w:left="2160" w:right="0" w:firstLine="720"/>
        <w:jc w:val="both"/>
        <w:rPr>
          <w:rFonts w:ascii="Times New Roman;Times;serif" w:hAnsi="Times New Roman;Times;serif"/>
          <w:color w:val="000000"/>
          <w:sz w:val="20"/>
        </w:rPr>
      </w:pPr>
      <w:r>
        <w:rPr>
          <w:rFonts w:ascii="Times New Roman;Times;serif" w:hAnsi="Times New Roman;Times;serif"/>
          <w:color w:val="000000"/>
          <w:sz w:val="20"/>
        </w:rPr>
        <w:t>v.          </w:t>
      </w:r>
      <w:r>
        <w:rPr>
          <w:rFonts w:ascii="Times New Roman;Times;serif" w:hAnsi="Times New Roman;Times;serif"/>
          <w:color w:val="000000"/>
          <w:sz w:val="20"/>
          <w:u w:val="single"/>
        </w:rPr>
        <w:t>No Fractional Shares or Scrip</w:t>
      </w:r>
      <w:r>
        <w:rPr>
          <w:rFonts w:ascii="Times New Roman;Times;serif" w:hAnsi="Times New Roman;Times;serif"/>
          <w:color w:val="000000"/>
          <w:sz w:val="20"/>
        </w:rPr>
        <w:t>.  No fractional shares or scrip representing fractional shares shall be issued upon the exercise of this Warrant.  As to any fraction of a share which the Holder would otherwise be entitled to purchase upon such exercise, the Company shall, at its election, either pay a cash adjustment in respect of such final fraction in an amount equal to such fraction multiplied by the Exercise Price or round down to the next whole share.</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2160" w:right="0" w:firstLine="720"/>
        <w:jc w:val="both"/>
        <w:rPr>
          <w:rFonts w:ascii="Times New Roman;Times;serif" w:hAnsi="Times New Roman;Times;serif"/>
          <w:color w:val="000000"/>
          <w:sz w:val="20"/>
        </w:rPr>
      </w:pPr>
      <w:r>
        <w:rPr>
          <w:rFonts w:ascii="Times New Roman;Times;serif" w:hAnsi="Times New Roman;Times;serif"/>
          <w:color w:val="000000"/>
          <w:sz w:val="20"/>
        </w:rPr>
        <w:t>vi.          </w:t>
      </w:r>
      <w:r>
        <w:rPr>
          <w:rFonts w:ascii="Times New Roman;Times;serif" w:hAnsi="Times New Roman;Times;serif"/>
          <w:color w:val="000000"/>
          <w:sz w:val="20"/>
          <w:u w:val="single"/>
        </w:rPr>
        <w:t>Charges, Taxes and Expenses</w:t>
      </w:r>
      <w:r>
        <w:rPr>
          <w:rFonts w:ascii="Times New Roman;Times;serif" w:hAnsi="Times New Roman;Times;serif"/>
          <w:color w:val="000000"/>
          <w:sz w:val="20"/>
        </w:rPr>
        <w:t xml:space="preserve">.  Issuance of Warrant Shares shall be made without charge to the Holder for any issue or transfer tax or other incidental expense in respect of the issuance of such Warrant Shares, all of which taxes and expenses shall be paid by the Company, and such Warrant Shares shall be issued in the name of the Holder or in such name or names as may be directed by the Holder;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however</w:t>
      </w:r>
      <w:r>
        <w:rPr>
          <w:rFonts w:ascii="Times New Roman;Times;serif" w:hAnsi="Times New Roman;Times;serif"/>
          <w:color w:val="000000"/>
          <w:sz w:val="20"/>
        </w:rPr>
        <w:t>, that in the event that Warrant Shares are to be issued in a name other than the name of the Holder, this Warrant when surrendered for exercise shall be accompanied by the Assignment Form attached hereto duly executed by the Holder and the Company may require, as a condition thereto, the payment of a sum sufficient to reimburse it for any transfer tax incidental thereto.  The Company shall pay all Transfer Agent fees required for same-day processing of any Notice of Exercise and all fees to the Depository Trust Company (or another established clearing corporation performing similar functions) required for same-day electronic delivery of the Warrant Shares.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2160" w:right="0" w:firstLine="720"/>
        <w:jc w:val="both"/>
        <w:rPr>
          <w:rFonts w:ascii="Times New Roman;Times;serif" w:hAnsi="Times New Roman;Times;serif"/>
          <w:color w:val="000000"/>
          <w:sz w:val="20"/>
        </w:rPr>
      </w:pPr>
      <w:r>
        <w:rPr>
          <w:rFonts w:ascii="Times New Roman;Times;serif" w:hAnsi="Times New Roman;Times;serif"/>
          <w:color w:val="000000"/>
          <w:sz w:val="20"/>
        </w:rPr>
        <w:t>vii.          </w:t>
      </w:r>
      <w:r>
        <w:rPr>
          <w:rFonts w:ascii="Times New Roman;Times;serif" w:hAnsi="Times New Roman;Times;serif"/>
          <w:color w:val="000000"/>
          <w:sz w:val="20"/>
          <w:u w:val="single"/>
        </w:rPr>
        <w:t>Closing of Books</w:t>
      </w:r>
      <w:r>
        <w:rPr>
          <w:rFonts w:ascii="Times New Roman;Times;serif" w:hAnsi="Times New Roman;Times;serif"/>
          <w:color w:val="000000"/>
          <w:sz w:val="20"/>
        </w:rPr>
        <w:t>.  The Company will not close its shareholder books or records in any manner which prevents the timely exercise of this Warrant, pursuant to the terms hereof.</w:t>
      </w:r>
    </w:p>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114" w:name="z0ba3cc8f399e4e2582a38b4a364990d8"/>
      <w:bookmarkStart w:id="115" w:name="z0ba3cc8f399e4e2582a38b4a364990d8"/>
      <w:bookmarkEnd w:id="115"/>
    </w:p>
    <w:tbl>
      <w:tblPr>
        <w:tblW w:w="10205" w:type="dxa"/>
        <w:jc w:val="left"/>
        <w:tblInd w:w="0" w:type="dxa"/>
        <w:tblLayout w:type="fixed"/>
        <w:tblCellMar>
          <w:top w:w="0" w:type="dxa"/>
          <w:left w:w="0" w:type="dxa"/>
          <w:bottom w:w="0" w:type="dxa"/>
          <w:right w:w="0" w:type="dxa"/>
        </w:tblCellMar>
      </w:tblPr>
      <w:tblGrid>
        <w:gridCol w:w="38"/>
        <w:gridCol w:w="111"/>
        <w:gridCol w:w="10056"/>
      </w:tblGrid>
      <w:tr>
        <w:trPr/>
        <w:tc>
          <w:tcPr>
            <w:tcW w:w="38" w:type="dxa"/>
            <w:tcBorders/>
            <w:vAlign w:val="center"/>
          </w:tcPr>
          <w:p>
            <w:pPr>
              <w:pStyle w:val="TableContents"/>
              <w:bidi w:val="0"/>
              <w:spacing w:before="0" w:after="283"/>
              <w:jc w:val="left"/>
              <w:rPr/>
            </w:pPr>
            <w:r>
              <w:rPr/>
            </w:r>
          </w:p>
        </w:tc>
        <w:tc>
          <w:tcPr>
            <w:tcW w:w="11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w:t>
            </w:r>
          </w:p>
        </w:tc>
        <w:tc>
          <w:tcPr>
            <w:tcW w:w="10056" w:type="dxa"/>
            <w:tcBorders/>
            <w:vAlign w:val="center"/>
          </w:tcPr>
          <w:p>
            <w:pPr>
              <w:pStyle w:val="TableContents"/>
              <w:bidi w:val="0"/>
              <w:spacing w:lineRule="auto" w:line="240" w:before="0" w:after="0"/>
              <w:jc w:val="both"/>
              <w:rPr>
                <w:rFonts w:ascii="Times New Roman;Times;serif" w:hAnsi="Times New Roman;Times;serif"/>
                <w:sz w:val="20"/>
              </w:rPr>
            </w:pPr>
            <w:r>
              <w:rPr>
                <w:rFonts w:ascii="Times New Roman;Times;serif" w:hAnsi="Times New Roman;Times;serif"/>
                <w:sz w:val="20"/>
                <w:u w:val="single"/>
              </w:rPr>
              <w:t>Holder’s Exercise Limitations</w:t>
            </w:r>
            <w:r>
              <w:rPr>
                <w:rFonts w:ascii="Times New Roman;Times;serif" w:hAnsi="Times New Roman;Times;serif"/>
                <w:sz w:val="20"/>
              </w:rPr>
              <w:t>.   The Company shall not effect any exercise of this Warrant, and a Holder shall not have the right to exercise any portion of this Warrant, pursuant to Section 2 or otherwise, to the extent that after giving effect to such issuance after exercise as set forth on the applicable Notice of Exercise, the Holder (together with the Holder’s Affiliates, and any other Persons acting as a group together with the Holder or any of the Holder’s Affiliates (such Persons, “</w:t>
            </w:r>
            <w:r>
              <w:rPr>
                <w:rFonts w:ascii="Times New Roman;Times;serif" w:hAnsi="Times New Roman;Times;serif"/>
                <w:sz w:val="20"/>
                <w:u w:val="single"/>
              </w:rPr>
              <w:t>Attribution Parties</w:t>
            </w:r>
            <w:r>
              <w:rPr>
                <w:rFonts w:ascii="Times New Roman;Times;serif" w:hAnsi="Times New Roman;Times;serif"/>
                <w:sz w:val="20"/>
              </w:rPr>
              <w:t>”)), would beneficially own in excess of the Beneficial Ownership Limitation (as defined below).  For purposes of the foregoing sentence, the number of Ordinary Shares beneficially owned by the Holder and its Affiliates and Attribution Parties shall include the number of Ordinary Shares issuable upon exercise of this Warrant with respect to which such determination is being made, but shall exclude the number of Ordinary Shares which would be issuable upon (i) exercise of the remaining, nonexercised portion of this Warrant beneficially owned by the Holder or any of its Affiliates or Attribution Parties and (ii) exercise or conversion of the unexercised or nonconverted portion of any other securities of the Company (including, without limitation, any other Ordinary Share Equivalents) subject to a limitation on conversion or exercise analogous to the limitation contained herein beneficially owned by the Holder or any of its Affiliates or Attribution Parties.  Except as set forth in the preceding sentence, for purposes of this Section 2(e), beneficial ownership shall be calculated in accordance with Section 13(d) of the Exchange Act and the rules and regulations promulgated thereunder, it being acknowledged by the Holder that the Company is not representing to the Holder that such calculation is in compliance with Section 13(d) of the Exchange Act and the Holder is solely responsible for any schedules required to be filed in accordance therewith.  To the extent that the limitation contained in this Section 2(e) applies, the determination of whether this Warrant is exercisable (in relation to other securities owned by the Holder together with any Affiliates and Attribution Parties) and of which portion of this Warrant is exercisable shall be in the sole discretion of the Holder, and the submission of a Notice of Exercise shall be deemed to be the Holder’s determination of whether this Warrant is exercisable (in relation to other securities owned by the Holder together with any Affiliates and Attribution Parties) and of which portion of this Warrant is exercisable, in each case subject to the Beneficial Ownership Limitation, and the Company shall have no obligation to verify or confirm the accuracy of such determination.  In addition, a determination as to any group status as contemplated above shall be determined in accordance with Section 13(d) of the Exchange Act and the rules and regulations promulgated thereunder, and the Company shall have no obligation to verify or confirm the accuracy of such determination.  For purposes of this Section 2(e), in determining the number of outstanding Ordinary Shares, a Holder may rely on the number of outstanding Ordinary Shares as reflected in (A) the Company’s most recent periodic or annual report filed with the Commission, as the case may be, (B) a more recent public announcement by the Company or (C) a more recent written notice by the Company or the Transfer Agent setting forth the number of Ordinary Shares outstanding.  Upon the written or oral request of a Holder, the Company shall within one (1) Trading Day confirm orally and in writing to the Holder the number of Ordinary Shares then outstanding.  In any case, the number of outstanding Ordinary Shares shall be determined after giving effect to the conversion or exercise of securities of the Company, including this Warrant, any Additional Warrants or the Notes, by the Holder or its Affiliates or Attribution Parties since the date as of which such number of outstanding Ordinary Shares was reported.  The “</w:t>
            </w:r>
            <w:r>
              <w:rPr>
                <w:rFonts w:ascii="Times New Roman;Times;serif" w:hAnsi="Times New Roman;Times;serif"/>
                <w:sz w:val="20"/>
                <w:u w:val="single"/>
              </w:rPr>
              <w:t>Beneficial Ownership Limitation</w:t>
            </w:r>
            <w:r>
              <w:rPr>
                <w:rFonts w:ascii="Times New Roman;Times;serif" w:hAnsi="Times New Roman;Times;serif"/>
                <w:sz w:val="20"/>
              </w:rPr>
              <w:t>” shall be 4.99% of the number of Ordinary Shares outstanding immediately after giving effect to the issuance of Ordinary Shares issuable upon exercise of this Warrant.  The Holder, upon notice to the Company, may increase or decrease the Beneficial Ownership Limitation provisions of this Section 2(e), provided that the Beneficial Ownership Limitation in no event exceeds 4.99% of the number of Ordinary Shares outstanding immediately after giving effect to the issuance of Ordinary Shares upon exercise of this Warrant held by the Holder and the provisions of this Section 2(e) shall continue to apply.  Any increase in the Beneficial Ownership Limitation will not be effective until the 61st day after such notice is delivered to the Company. Any such increase or decrease will apply only to the Holder and the other Attribution Parties and not to any other holder of Warrant that is not an Attribution Party of the Holder. The provisions of this paragraph shall be construed and implemented in a manner otherwise than in strict conformity with the terms of this Section 2(e)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Warrant.</w:t>
            </w:r>
          </w:p>
        </w:tc>
      </w:tr>
    </w:tbl>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4</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116" w:name="z07391ea97a7d46dabd6d8e4bf1321d9d"/>
      <w:bookmarkStart w:id="117" w:name="z07391ea97a7d46dabd6d8e4bf1321d9d"/>
      <w:bookmarkEnd w:id="117"/>
    </w:p>
    <w:tbl>
      <w:tblPr>
        <w:tblW w:w="10205" w:type="dxa"/>
        <w:jc w:val="left"/>
        <w:tblInd w:w="0" w:type="dxa"/>
        <w:tblLayout w:type="fixed"/>
        <w:tblCellMar>
          <w:top w:w="0" w:type="dxa"/>
          <w:left w:w="0" w:type="dxa"/>
          <w:bottom w:w="0" w:type="dxa"/>
          <w:right w:w="0" w:type="dxa"/>
        </w:tblCellMar>
      </w:tblPr>
      <w:tblGrid>
        <w:gridCol w:w="38"/>
        <w:gridCol w:w="82"/>
        <w:gridCol w:w="10085"/>
      </w:tblGrid>
      <w:tr>
        <w:trPr/>
        <w:tc>
          <w:tcPr>
            <w:tcW w:w="38" w:type="dxa"/>
            <w:tcBorders/>
            <w:vAlign w:val="center"/>
          </w:tcPr>
          <w:p>
            <w:pPr>
              <w:pStyle w:val="TableContents"/>
              <w:bidi w:val="0"/>
              <w:spacing w:before="0" w:after="283"/>
              <w:jc w:val="left"/>
              <w:rPr/>
            </w:pPr>
            <w:r>
              <w:rPr/>
            </w:r>
          </w:p>
        </w:tc>
        <w:tc>
          <w:tcPr>
            <w:tcW w:w="8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w:t>
            </w:r>
          </w:p>
        </w:tc>
        <w:tc>
          <w:tcPr>
            <w:tcW w:w="1008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u w:val="single"/>
              </w:rPr>
              <w:t>Principal Market Regulation</w:t>
            </w:r>
            <w:r>
              <w:rPr>
                <w:rFonts w:ascii="Times New Roman;Times;serif" w:hAnsi="Times New Roman;Times;serif"/>
                <w:sz w:val="20"/>
              </w:rPr>
              <w:t>. The Company shall not issue any Ordinary Shares upon exercise of this Warrant or otherwise pursuant to the terms of this Warrant, or upon conversion of the Notes held by the Holder, if the issuance of such Ordinary Shares would exceed the aggregate number of Ordinary Shares which the Company may issue upon conversion of all Warrants or otherwise pursuant to the terms of all Warrants (as the case may be), or upon exercise of all Notes, in each case, issued pursuant to the Purchase Agreement, without breaching the Company’s obligations under the rules or regulations of the Nasdaq Capital Market (the “</w:t>
            </w:r>
            <w:r>
              <w:rPr>
                <w:rFonts w:ascii="Times New Roman;Times;serif" w:hAnsi="Times New Roman;Times;serif"/>
                <w:sz w:val="20"/>
                <w:u w:val="single"/>
              </w:rPr>
              <w:t>Principal Market</w:t>
            </w:r>
            <w:r>
              <w:rPr>
                <w:rFonts w:ascii="Times New Roman;Times;serif" w:hAnsi="Times New Roman;Times;serif"/>
                <w:sz w:val="20"/>
              </w:rPr>
              <w:t>”) (the number of Ordinary Shares which may be issued without violating such rules and regulations, including rules related to the aggregation of offerings under NASDAQ Listing Rule 5635(d), the “</w:t>
            </w:r>
            <w:r>
              <w:rPr>
                <w:rFonts w:ascii="Times New Roman;Times;serif" w:hAnsi="Times New Roman;Times;serif"/>
                <w:sz w:val="20"/>
                <w:u w:val="single"/>
              </w:rPr>
              <w:t>Exchange Ca</w:t>
            </w:r>
            <w:r>
              <w:rPr>
                <w:rFonts w:ascii="Times New Roman;Times;serif" w:hAnsi="Times New Roman;Times;serif"/>
                <w:sz w:val="20"/>
              </w:rPr>
              <w:t>p”), except that such limitation shall not apply in the event that the Company (A) obtains Shareholder Approval or (B) obtains a written opinion from counsel to the Company that such approval is not required, which opinion shall be reasonably satisfactory to the Holder. Until such approval or such written opinion is obtained, no Purchaser shall be issued in the aggregate, upon conversion or exercise (as the case may be) of any Notes or otherwise pursuant to the terms of the Notes, or of any Warrants or otherwise pursuant to the terms of the Warrants, Ordinary Shares in an amount greater than the product of (i) the Exchange Cap as of the date of the Purchase Agreement multiplied by (ii) the quotient of (1) the original principal amount of Notes issued to such Purchaser pursuant to the Purchase Agreement on the Closing Date (as defined in the Purchase Agreement) divided by (2) the aggregate original principal amount of all Notes issued to the Purchaser pursuant to the Purchase Agreement on the Date (with respect to each Purchaser, the “</w:t>
            </w:r>
            <w:r>
              <w:rPr>
                <w:rFonts w:ascii="Times New Roman;Times;serif" w:hAnsi="Times New Roman;Times;serif"/>
                <w:sz w:val="20"/>
                <w:u w:val="single"/>
              </w:rPr>
              <w:t>Exchange Cap Allocation</w:t>
            </w:r>
            <w:r>
              <w:rPr>
                <w:rFonts w:ascii="Times New Roman;Times;serif" w:hAnsi="Times New Roman;Times;serif"/>
                <w:sz w:val="20"/>
              </w:rPr>
              <w:t>”). In the event that any Purchaser shall sell or otherwise transfer any of such Purchaser’s Warrants, the transferee shall be allocated a pro rata portion of such Purchaser’s Exchange Cap Allocation with respect to such portion of such Warrants so transferred, and the restrictions of the prior sentence shall apply to such transferee with respect to the portion of the Exchange Cap Allocation so allocated to such transferee. Upon exercise in full of a holder’s Warrants, the difference (if any) between such holder’s Exchange Cap Allocation and the number of Ordinary Shares actually issued to such holder upon such holder’s exercise in full of such Warrants shall be allocated, to the respective Exchange Cap Allocations of the remaining holders of Warrants on a pro rata basis in proportion to the Ordinary Shares underlying the Warrants then held by each such holder of Warrants.</w:t>
            </w:r>
          </w:p>
        </w:tc>
      </w:tr>
    </w:tbl>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u w:val="single"/>
        </w:rPr>
        <w:t>Section 3</w:t>
      </w:r>
      <w:r>
        <w:rPr>
          <w:rFonts w:ascii="Times New Roman;Times;serif" w:hAnsi="Times New Roman;Times;serif"/>
          <w:color w:val="000000"/>
          <w:sz w:val="20"/>
        </w:rPr>
        <w:t>.          </w:t>
      </w:r>
      <w:r>
        <w:rPr>
          <w:rFonts w:ascii="Times New Roman;Times;serif" w:hAnsi="Times New Roman;Times;serif"/>
          <w:color w:val="000000"/>
          <w:sz w:val="20"/>
          <w:u w:val="single"/>
        </w:rPr>
        <w:t>Certain Adjustments</w:t>
      </w:r>
      <w:r>
        <w:rPr>
          <w:rFonts w:ascii="Times New Roman;Times;serif" w:hAnsi="Times New Roman;Times;serif"/>
          <w:color w:val="000000"/>
          <w:sz w:val="20"/>
        </w:rPr>
        <w:t>.</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a)          </w:t>
      </w:r>
      <w:r>
        <w:rPr>
          <w:rFonts w:ascii="Times New Roman;Times;serif" w:hAnsi="Times New Roman;Times;serif"/>
          <w:color w:val="000000"/>
          <w:sz w:val="20"/>
          <w:u w:val="single"/>
        </w:rPr>
        <w:t>Share Dividends and Splits</w:t>
      </w:r>
      <w:r>
        <w:rPr>
          <w:rFonts w:ascii="Times New Roman;Times;serif" w:hAnsi="Times New Roman;Times;serif"/>
          <w:color w:val="000000"/>
          <w:sz w:val="20"/>
        </w:rPr>
        <w:t>.  If the Company, at any time while this Warrant is outstanding: (i) pays a share dividend or otherwise makes a distribution or distributions on its Ordinary Shares or any other equity or equity equivalent securities payable in Ordinary Shares (which, for avoidance of doubt, shall not include any Ordinary Shares issued by the Company upon exercise of this Warrant), (ii) subdivides outstanding Ordinary Shares into a larger number of shares, (iii) combines (including by way of reverse share split) outstanding Ordinary Shares into a smaller number of shares, or (iv) issues by reclassification of Ordinary Shares any shares of share capital of the Company, then in each case the Exercise Price shall be multiplied by a fraction of which the numerator shall be the number of Ordinary Shares (excluding treasury shares, if any) outstanding immediately before such event and of which the denominator shall be the number of Ordinary Shares outstanding immediately after such event, and the number of shares issuable upon exercise of this Warrant shall be proportionately adjusted such that the aggregate Exercise Price of this Warrant shall remain unchanged.  Any adjustment made pursuant to this Section 3(a) shall become effective immediately after the record date for the determination of shareholders entitled to receive such dividend or distribution and shall become effective immediately after the effective date in the case of a subdivision, combination or re</w:t>
        <w:noBreakHyphen/>
        <w:t>classification.</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b)          </w:t>
      </w:r>
      <w:r>
        <w:rPr>
          <w:rFonts w:ascii="Times New Roman;Times;serif" w:hAnsi="Times New Roman;Times;serif"/>
          <w:color w:val="000000"/>
          <w:sz w:val="20"/>
          <w:u w:val="single"/>
        </w:rPr>
        <w:t>Subsequent Rights Offerings</w:t>
      </w:r>
      <w:r>
        <w:rPr>
          <w:rFonts w:ascii="Times New Roman;Times;serif" w:hAnsi="Times New Roman;Times;serif"/>
          <w:color w:val="000000"/>
          <w:sz w:val="20"/>
        </w:rPr>
        <w:t>.  In addition to any adjustments pursuant to Section 3(a) above, if at any time the Company grants, issues or sells any Ordinary Share Equivalents or rights to purchase shares, warrants, securities or other property pro rata to the record holders of any class of Ordinary Shares (the “</w:t>
      </w:r>
      <w:r>
        <w:rPr>
          <w:rFonts w:ascii="Times New Roman;Times;serif" w:hAnsi="Times New Roman;Times;serif"/>
          <w:color w:val="000000"/>
          <w:sz w:val="20"/>
          <w:u w:val="single"/>
        </w:rPr>
        <w:t>Purchase Rights</w:t>
      </w:r>
      <w:r>
        <w:rPr>
          <w:rFonts w:ascii="Times New Roman;Times;serif" w:hAnsi="Times New Roman;Times;serif"/>
          <w:color w:val="000000"/>
          <w:sz w:val="20"/>
        </w:rPr>
        <w:t>”), then the Holder will be entitled to acquire, upon the terms applicable to such Purchase Rights, the aggregate Purchase Rights which the Holder could have acquired if the Holder had held the number of Ordinary Shares acquirable upon complete exercise of this Warrant (without regard to any limitations on exercise hereof, including without limitation, the Beneficial Ownership Limitation) immediately before the date on which a record is taken for the grant, issuance or sale of such Purchase Rights, or, if no such record is taken, the date as of which the record holders of Ordinary Shares are to be determined for the grant, issue or sale of such Purchase Rights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however</w:t>
      </w:r>
      <w:r>
        <w:rPr>
          <w:rFonts w:ascii="Times New Roman;Times;serif" w:hAnsi="Times New Roman;Times;serif"/>
          <w:color w:val="000000"/>
          <w:sz w:val="20"/>
        </w:rPr>
        <w:t>, that to the extent that the Holder’s right to participate in any such Purchase Right would result in the Holder exceeding the Beneficial Ownership Limitation, then the Holder shall not be entitled to participate in such Purchase Right to such extent (or beneficial ownership of such Ordinary Shares as a result of such Purchase Right to such extent) and such Purchase Right to such extent shall be held in abeyance for the Holder until such time, if ever, as its right thereto would not result in the Holder exceeding the Beneficial Ownership Limitation).</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c)          </w:t>
      </w:r>
      <w:r>
        <w:rPr>
          <w:rFonts w:ascii="Times New Roman;Times;serif" w:hAnsi="Times New Roman;Times;serif"/>
          <w:color w:val="000000"/>
          <w:sz w:val="20"/>
          <w:u w:val="single"/>
        </w:rPr>
        <w:t>Pro Rata Distributions</w:t>
      </w:r>
      <w:r>
        <w:rPr>
          <w:rFonts w:ascii="Times New Roman;Times;serif" w:hAnsi="Times New Roman;Times;serif"/>
          <w:color w:val="000000"/>
          <w:sz w:val="20"/>
        </w:rPr>
        <w:t>.  During such time as this Warrant is outstanding, if the Company shall declare or make any dividend or other distribution of its assets (or rights to acquire its assets) to holders of Ordinary Shares, by way of return of capital or otherwise (including, without limitation, any distribution of cash, shares, or other securities, property or options by way of a dividend, spin off, reclassification, corporate rearrangement, scheme of arrangement or other similar transaction) (a “</w:t>
      </w:r>
      <w:r>
        <w:rPr>
          <w:rFonts w:ascii="Times New Roman;Times;serif" w:hAnsi="Times New Roman;Times;serif"/>
          <w:color w:val="000000"/>
          <w:sz w:val="20"/>
          <w:u w:val="single"/>
        </w:rPr>
        <w:t>Distribution</w:t>
      </w:r>
      <w:r>
        <w:rPr>
          <w:rFonts w:ascii="Times New Roman;Times;serif" w:hAnsi="Times New Roman;Times;serif"/>
          <w:color w:val="000000"/>
          <w:sz w:val="20"/>
        </w:rPr>
        <w:t>”), at any time after the issuance of this Warrant, then, in each such case, the Holder shall be entitled to participate in such Distribution to the same extent that the Holder would have participated therein if the Holder had held the number of Ordinary Shares acquirable upon complete exercise of this Warrant (without regard to any limitations on exercise hereof, including without limitation, the Beneficial Ownership Limitation) immediately before the date of which a record is taken for such Distribution, or, if no such record is taken, the date as of which the record holders of Ordinary Shares are to be determined for the participation in such Distribution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however</w:t>
      </w:r>
      <w:r>
        <w:rPr>
          <w:rFonts w:ascii="Times New Roman;Times;serif" w:hAnsi="Times New Roman;Times;serif"/>
          <w:color w:val="000000"/>
          <w:sz w:val="20"/>
        </w:rPr>
        <w:t>, that to the extent that the Holder’s right to participate in any such Distribution would result in the Holder exceeding the Beneficial Ownership Limitation, then the Holder shall not be entitled to participate in such Distribution to such extent (or in the beneficial ownership of any Ordinary Shares as a result of such Distribution to such extent) and the portion of such Distribution shall be held in abeyance for the benefit of the Holder until such time, if ever, as its right thereto would not result in the Holder exceeding the Beneficial Ownership Limitation).</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5</w:t>
      </w:r>
    </w:p>
    <w:p>
      <w:pPr>
        <w:pStyle w:val="HorizontalLine"/>
        <w:pBdr>
          <w:bottom w:val="single" w:sz="12" w:space="0" w:color="808080"/>
        </w:pBdr>
        <w:bidi w:val="0"/>
        <w:spacing w:before="200" w:after="200"/>
        <w:jc w:val="left"/>
        <w:rPr/>
      </w:pPr>
      <w:r>
        <w:rPr/>
      </w:r>
    </w:p>
    <w:p>
      <w:pPr>
        <w:pStyle w:val="TextBody"/>
        <w:bidi w:val="0"/>
        <w:spacing w:lineRule="auto" w:line="300"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d)          </w:t>
      </w:r>
      <w:r>
        <w:rPr>
          <w:rFonts w:ascii="Times New Roman;Times;serif" w:hAnsi="Times New Roman;Times;serif"/>
          <w:color w:val="000000"/>
          <w:sz w:val="20"/>
          <w:u w:val="single"/>
        </w:rPr>
        <w:t>Fundamental Transaction</w:t>
      </w:r>
      <w:r>
        <w:rPr>
          <w:rFonts w:ascii="Times New Roman;Times;serif" w:hAnsi="Times New Roman;Times;serif"/>
          <w:color w:val="000000"/>
          <w:sz w:val="20"/>
        </w:rPr>
        <w:t>. If, at any time while this Warrant is outstanding, (i) the Company, directly or indirectly, in one or more related transactions effects any merger or consolidation of the Company with or into another Person, (ii) the Company (or any Subsidiary), directly or indirectly, effects any sale, lease, license, assignment, transfer, conveyance or other disposition of all or substantially all of the Company’s assets in one or a series of related transactions, (iii) any, direct or indirect, purchase offer, tender offer or exchange offer (whether by the Company or another Person) is completed pursuant to which holders of Ordinary Shares are permitted to sell, tender or exchange their shares for other securities, cash or property and has been accepted by the holders of more than 50% of the outstanding Ordinary Shares or more than 50% of the voting power of the common equity of the Company, (iv) the Company, directly or indirectly, in one or more related transactions effects any reclassification, reorganization or recapitalization of the Ordinary Shares or any compulsory share exchange pursuant to which the Ordinary Shares are effectively converted into or exchanged for other securities, cash or property, or (v) the Company, directly or indirectly, in one or more related transactions consummates a share purchase agreement or other business combination (including, without limitation, a reorganization, recapitalization, spin-off, merger or scheme of arrangement) with another Person or group of Persons whereby such other Person or group acquires more than 50% of the outstanding Ordinary Shares or more than 50% of the voting power of the common equity of the Company (each a “</w:t>
      </w:r>
      <w:r>
        <w:rPr>
          <w:rFonts w:ascii="Times New Roman;Times;serif" w:hAnsi="Times New Roman;Times;serif"/>
          <w:color w:val="000000"/>
          <w:sz w:val="20"/>
          <w:u w:val="single"/>
        </w:rPr>
        <w:t>Fundamental Transaction</w:t>
      </w:r>
      <w:r>
        <w:rPr>
          <w:rFonts w:ascii="Times New Roman;Times;serif" w:hAnsi="Times New Roman;Times;serif"/>
          <w:color w:val="000000"/>
          <w:sz w:val="20"/>
        </w:rPr>
        <w:t>”), then, upon any subsequent exercise of this Warrant, the Holder shall have the right to receive, for each Warrant Share that would have been issuable upon such exercise immediately prior to the occurrence of such Fundamental Transaction, at the option of the Holder (without regard to any limitation in Section 2(e) on the exercise of this Warrant), the number of Ordinary Shares of the successor or acquiring corporation or of the Company, if it is the surviving corporation, and any additional consideration (the “</w:t>
      </w:r>
      <w:r>
        <w:rPr>
          <w:rFonts w:ascii="Times New Roman;Times;serif" w:hAnsi="Times New Roman;Times;serif"/>
          <w:color w:val="000000"/>
          <w:sz w:val="20"/>
          <w:u w:val="single"/>
        </w:rPr>
        <w:t>Alternate Consideration</w:t>
      </w:r>
      <w:r>
        <w:rPr>
          <w:rFonts w:ascii="Times New Roman;Times;serif" w:hAnsi="Times New Roman;Times;serif"/>
          <w:color w:val="000000"/>
          <w:sz w:val="20"/>
        </w:rPr>
        <w:t xml:space="preserve">”) receivable as a result of such Fundamental Transaction by a holder of the number of Ordinary Shares for which this Warrant is exercisable immediately prior to such Fundamental Transaction (without regard to any limitation in Section 2(e) on the exercise of this Warrant).  For purposes of any such exercise, the determination of the Exercise Price shall be appropriately adjusted to apply to such Alternate Consideration based on the amount of Alternate Consideration issuable in respect of one Ordinary Share in such Fundamental Transaction, and the Company shall apportion the Exercise Price among the Alternate Consideration in a reasonable manner reflecting the relative value of any different components of the Alternate Consideration.  If holders of Ordinary Shares are given any choice as to the securities, cash or property to be received in a Fundamental Transaction, then the Holder shall be given the same choice as to the Alternate Consideration it receives upon any exercise of this Warrant following such Fundamental Transaction.  Notwithstanding anything to the contrary, in the event of a Fundamental Transaction, the Company or any Successor Entity (as defined below) shall, at the Holder’s option, exercisable at any time concurrently with, or within 30 days after, the consummation of the Fundamental Transaction (or, if later, the date of the public announcement of the applicable Fundamental Transaction), purchase this Warrant from the Holder by paying to the Holder an amount equal to the Black Scholes Value (as defined below) of the remaining unexercised portion of this Warrant on the date of the consummation of such Fundamental Transaction payable in either, at the option of the Company, cash, Ordinary Shares or the same type or form of consideration (and in the same proportion) that is being offered and paid to the holders of the Ordinary Shares of the Company in connection with the Fundamental Transaction, whether that consideration be in the form of cash, shares or any combination thereof, or whether the holders of the Ordinary Shares are given the choice to receive from among alternative forms of consideration in connection with the Fundamental Transaction;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further</w:t>
      </w:r>
      <w:r>
        <w:rPr>
          <w:rFonts w:ascii="Times New Roman;Times;serif" w:hAnsi="Times New Roman;Times;serif"/>
          <w:color w:val="000000"/>
          <w:sz w:val="20"/>
        </w:rPr>
        <w:t>, that if holders of Ordinary Shares of the Company are not offered or paid any consideration in such Fundamental Transaction, such holders of Ordinary Shares will be deemed to have received common stock of the Successor Entity (which Entity may be the Company following such Fundamental Transaction) in such Fundamental Transaction.  “</w:t>
      </w:r>
      <w:r>
        <w:rPr>
          <w:rFonts w:ascii="Times New Roman;Times;serif" w:hAnsi="Times New Roman;Times;serif"/>
          <w:color w:val="000000"/>
          <w:sz w:val="20"/>
          <w:u w:val="single"/>
        </w:rPr>
        <w:t>Black Scholes Value</w:t>
      </w:r>
      <w:r>
        <w:rPr>
          <w:rFonts w:ascii="Times New Roman;Times;serif" w:hAnsi="Times New Roman;Times;serif"/>
          <w:color w:val="000000"/>
          <w:sz w:val="20"/>
        </w:rPr>
        <w:t>” means the value of this Warrant based on the Black-Scholes Option Pricing Model obtained from the “OV” function on Bloomberg determined as of the day of consummation of the applicable Fundamental Transaction for pricing purposes and reflecting (A) a risk-free interest rate corresponding to the U.S. Treasury rate for a period equal to the time between the date of the public announcement of the applicable contemplated Fundamental Transaction and the Termination Date, (B) an expected volatility equal to the greater of (1) the 100 day volatility or (2) the volatility of 100%, each of clauses (1)-(2) as obtained from the HVT function on Bloomberg (determined utilizing a 365 day annualization factor) as of the Trading Day immediately following the public announcement of the applicable contemplated Fundamental Transaction, (C) the underlying price per share used in such calculation shall be the highest VWAP during the period beginning on the Trading Day immediately preceding the public announcement of the applicable contemplated Fundamental Transaction (or the consummation of the applicable Fundamental Transaction, if earlier) and ending on the Trading Day of the Holder’s request pursuant to this Section 3(d), (D) a remaining option time equal to the time between the date of the public announcement of the applicable contemplated Fundamental Transaction and the Termination Date and (E) a zero cost of borrow.  The payment of the Black Scholes Value will be made by wire transfer of immediately available funds (or such other consideration) within the later of (i) five Business Days of the Holder’s election and (ii) the date of consummation of the Fundamental Transaction.  The Company shall cause any successor entity in a Fundamental Transaction in which the Company is not the survivor (the “</w:t>
      </w:r>
      <w:r>
        <w:rPr>
          <w:rFonts w:ascii="Times New Roman;Times;serif" w:hAnsi="Times New Roman;Times;serif"/>
          <w:color w:val="000000"/>
          <w:sz w:val="20"/>
          <w:u w:val="single"/>
        </w:rPr>
        <w:t>Successor Entity</w:t>
      </w:r>
      <w:r>
        <w:rPr>
          <w:rFonts w:ascii="Times New Roman;Times;serif" w:hAnsi="Times New Roman;Times;serif"/>
          <w:color w:val="000000"/>
          <w:sz w:val="20"/>
        </w:rPr>
        <w:t>”) to assume in writing all of the obligations of the Company under this Warrant and the other Transaction Documents in accordance with the provisions of this Section 3(d) pursuant to written agreements in form and substance reasonably satisfactory to the Holder and approved by the Holder (without unreasonable delay) prior to such Fundamental Transaction and shall, at the option of the Holder, deliver to the Holder in exchange for this Warrant a security of the Successor Entity evidenced by a written instrument substantially similar in form and substance to this Warrant which is exercisable for a corresponding number of share capital of such Successor Entity (or its parent entity) equivalent to the Ordinary Shares acquirable and receivable upon exercise of this Warrant (without regard to any limitations on the exercise of this Warrant) prior to such Fundamental Transaction, and with an exercise price which applies the exercise price hereunder to such share capital (but taking into account the relative value of the Ordinary Shares pursuant to such Fundamental Transaction and the value of such share capital, such number of share capital and such exercise price being for the purpose of protecting the economic value of this Warrant immediately prior to the consummation of such Fundamental Transaction), and which is reasonably satisfactory in form and substance to the Holder.  Upon the occurrence of any such Fundamental Transaction, the Successor Entity shall be added to the term “Company” under this Warrant (so that from and after the occurrence or consummation of such Fundamental Transaction, each and every provision of this Warrant and the other Transaction Documents referring to the “Company” shall refer instead to each of the Company and the Successor Entity or Successor Entities, jointly and severally), and the Successor Entity or Successor Entities, jointly and severally with the Company, may exercise every right and power of the Company prior thereto and the Successor Entity or Successor Entities shall assume all of the obligations of the Company prior thereto under this Warrant and the other Transaction Documents with the same effect as if the Company and such Successor Entity or Successor Entities, jointly and severally, had been named as the Company herein.  For the avoidance of doubt, the Holder shall be entitled to the benefits of the provisions of this Section 3(d) regardless of (i) whether the Company has sufficient authorized Ordinary Shares for the issuance of Warrant Shares and/or (ii) whether a Fundamental Transaction occurs prior to the Initial Exercise Date. Notwithstanding anything to the contrary herein, the Company and Holder acknowledge and agree that the transactions contemplated by that certain Purchase Agreement (the “</w:t>
      </w:r>
      <w:r>
        <w:rPr>
          <w:rFonts w:ascii="Times New Roman;Times;serif" w:hAnsi="Times New Roman;Times;serif"/>
          <w:color w:val="000000"/>
          <w:sz w:val="20"/>
          <w:u w:val="single"/>
        </w:rPr>
        <w:t>Oratech Purchase Agreement</w:t>
      </w:r>
      <w:r>
        <w:rPr>
          <w:rFonts w:ascii="Times New Roman;Times;serif" w:hAnsi="Times New Roman;Times;serif"/>
          <w:color w:val="000000"/>
          <w:sz w:val="20"/>
        </w:rPr>
        <w:t>”), dated as of January 12, 2026, by and among the Company, Oratech Pharma, Inc. and Oramed Pharmaceuticals, Inc. (the “</w:t>
      </w:r>
      <w:r>
        <w:rPr>
          <w:rFonts w:ascii="Times New Roman;Times;serif" w:hAnsi="Times New Roman;Times;serif"/>
          <w:color w:val="000000"/>
          <w:sz w:val="20"/>
          <w:u w:val="single"/>
        </w:rPr>
        <w:t>Current Transaction</w:t>
      </w:r>
      <w:r>
        <w:rPr>
          <w:rFonts w:ascii="Times New Roman;Times;serif" w:hAnsi="Times New Roman;Times;serif"/>
          <w:color w:val="000000"/>
          <w:sz w:val="20"/>
        </w:rPr>
        <w:t>”) and related transaction documentation, including the execution of the Oratech Purchase Agreement and documentation related thereto, shall not constitute, and shall not be deemed to constitute, a Fundamental Transaction for any purpose under this Warrant, and no rights, remedies, or obligations that would otherwise arise upon the occurrence of a Fundamental Transaction shall be triggered by or in connection with the consummation of the Current Transaction.  Additionally, notwithstanding anything to the contrary herein, no transaction, action, election, or arrangement initiated, proposed, directed, or otherwise caused by, or at the direction of, the Majority Holders shall constitute, or be deemed to constitute, a Fundamental Transaction, and no Fundamental Transaction shall be deemed to have occurred solely as a result of any voluntary act or omission of the Majority Holders. For the avoidance of doubt, a Fundamental Transaction shall only be deemed to occur upon the consummation of a transaction undertaken by the Company or a third party independent of the Majority  Holders, and not as a result of any designation, characterization, or contractual right exercised by the Majority Holders.</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6</w:t>
      </w:r>
    </w:p>
    <w:p>
      <w:pPr>
        <w:pStyle w:val="HorizontalLine"/>
        <w:pBdr>
          <w:bottom w:val="single" w:sz="12" w:space="0" w:color="808080"/>
        </w:pBdr>
        <w:bidi w:val="0"/>
        <w:spacing w:before="200" w:after="200"/>
        <w:jc w:val="left"/>
        <w:rPr/>
      </w:pPr>
      <w:r>
        <w:rPr/>
      </w:r>
    </w:p>
    <w:p>
      <w:pPr>
        <w:pStyle w:val="TextBody"/>
        <w:bidi w:val="0"/>
        <w:spacing w:lineRule="auto" w:line="300"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e)          </w:t>
      </w:r>
      <w:r>
        <w:rPr>
          <w:rFonts w:ascii="Times New Roman;Times;serif" w:hAnsi="Times New Roman;Times;serif"/>
          <w:color w:val="000000"/>
          <w:sz w:val="20"/>
          <w:u w:val="single"/>
        </w:rPr>
        <w:t>Calculations</w:t>
      </w:r>
      <w:r>
        <w:rPr>
          <w:rFonts w:ascii="Times New Roman;Times;serif" w:hAnsi="Times New Roman;Times;serif"/>
          <w:color w:val="000000"/>
          <w:sz w:val="20"/>
        </w:rPr>
        <w:t>.  All calculations under this Section 3 shall be made to the nearest cent or the nearest 1/100th of a share, as the case may be.  For purposes of this Section 3, the number of Ordinary Shares deemed to be issued and outstanding as of a given date shall be the sum of the number of Ordinary Shares (excluding treasury shares, if any) issued and outstanding.</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f)          </w:t>
      </w:r>
      <w:r>
        <w:rPr>
          <w:rFonts w:ascii="Times New Roman;Times;serif" w:hAnsi="Times New Roman;Times;serif"/>
          <w:color w:val="000000"/>
          <w:sz w:val="20"/>
          <w:u w:val="single"/>
        </w:rPr>
        <w:t>Notice to Holder</w:t>
      </w:r>
      <w:r>
        <w:rPr>
          <w:rFonts w:ascii="Times New Roman;Times;serif" w:hAnsi="Times New Roman;Times;serif"/>
          <w:color w:val="000000"/>
          <w:sz w:val="20"/>
        </w:rPr>
        <w:t>.</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2160" w:right="0" w:firstLine="720"/>
        <w:jc w:val="both"/>
        <w:rPr>
          <w:rFonts w:ascii="Times New Roman;Times;serif" w:hAnsi="Times New Roman;Times;serif"/>
          <w:color w:val="000000"/>
          <w:sz w:val="20"/>
        </w:rPr>
      </w:pPr>
      <w:r>
        <w:rPr>
          <w:rFonts w:ascii="Times New Roman;Times;serif" w:hAnsi="Times New Roman;Times;serif"/>
          <w:color w:val="000000"/>
          <w:sz w:val="20"/>
        </w:rPr>
        <w:t>i.          </w:t>
      </w:r>
      <w:r>
        <w:rPr>
          <w:rFonts w:ascii="Times New Roman;Times;serif" w:hAnsi="Times New Roman;Times;serif"/>
          <w:color w:val="000000"/>
          <w:sz w:val="20"/>
          <w:u w:val="single"/>
        </w:rPr>
        <w:t>Adjustment to Exercise Price</w:t>
      </w:r>
      <w:r>
        <w:rPr>
          <w:rFonts w:ascii="Times New Roman;Times;serif" w:hAnsi="Times New Roman;Times;serif"/>
          <w:color w:val="000000"/>
          <w:sz w:val="20"/>
        </w:rPr>
        <w:t>.  Whenever the Exercise Price is adjusted pursuant to any provision of this Section 3, the Company shall promptly deliver to the Holder by email a notice setting forth the Exercise Price after such adjustment and any resulting adjustment to the number of Warrant Shares and setting forth a brief statement of the facts requiring such adjustment.</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2160" w:right="0" w:firstLine="720"/>
        <w:jc w:val="both"/>
        <w:rPr>
          <w:rFonts w:ascii="Times New Roman;Times;serif" w:hAnsi="Times New Roman;Times;serif"/>
          <w:color w:val="000000"/>
          <w:sz w:val="20"/>
        </w:rPr>
      </w:pPr>
      <w:r>
        <w:rPr>
          <w:rFonts w:ascii="Times New Roman;Times;serif" w:hAnsi="Times New Roman;Times;serif"/>
          <w:color w:val="000000"/>
          <w:sz w:val="20"/>
        </w:rPr>
        <w:t>ii.          </w:t>
      </w:r>
      <w:r>
        <w:rPr>
          <w:rFonts w:ascii="Times New Roman;Times;serif" w:hAnsi="Times New Roman;Times;serif"/>
          <w:color w:val="000000"/>
          <w:sz w:val="20"/>
          <w:u w:val="single"/>
        </w:rPr>
        <w:t>Notice to Allow Exercise by Holder</w:t>
      </w:r>
      <w:r>
        <w:rPr>
          <w:rFonts w:ascii="Times New Roman;Times;serif" w:hAnsi="Times New Roman;Times;serif"/>
          <w:color w:val="000000"/>
          <w:sz w:val="20"/>
        </w:rPr>
        <w:t>.  If (A) the Company shall declare a dividend (or any other distribution in whatever form) on the Ordinary Shares, (B) the Company shall declare a special nonrecurring cash dividend on or a redemption of the Ordinary Shares, (C) the Company shall authorize the granting to all holders of the Ordinary Shares rights or warrants to subscribe for or purchase any share capital of any class or of any rights, (D) the approval of any shareholders of the Company shall be required in connection with any reclassification of the Ordinary Shares, any consolidation or merger to which the Company (or any of its Subsidiaries) is a party, any sale or transfer of all or substantially all of its assets, or any compulsory share exchange whereby the Ordinary Shares are converted into other securities, cash or property, or (E) the Company shall authorize the voluntary or involuntary dissolution, liquidation or winding up of the affairs of the Company, then, in each case, the Company shall cause to be delivered by email to the Holder at its last email address as it shall appear upon the Warrant Register of the Company, at least 20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Ordinary Shares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Ordinary Shares of record shall be entitled to exchange their Ordinary Shares for securities, cash or other property deliverable upon such reclassification, consolidation, merger, sale, transfer or share exchange; provided that the failure to deliver such notice or any defect therein or in the delivery thereof shall not affect the validity of the corporate action required to be specified in such notice.  To the extent that any notice provided in this Warrant constitutes, or contains, material, non-public information regarding the Company or any of the Subsidiaries, the Company shall simultaneously file such notice with the Commission pursuant to a Current Report on Form 8-K.  The Holder shall remain entitled to exercise this Warrant during the period commencing on the date of such notice to the effective date of the event triggering such notice except as may otherwise be expressly set forth herein.</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7</w:t>
      </w:r>
    </w:p>
    <w:p>
      <w:pPr>
        <w:pStyle w:val="HorizontalLine"/>
        <w:pBdr>
          <w:bottom w:val="single" w:sz="12" w:space="0" w:color="808080"/>
        </w:pBdr>
        <w:bidi w:val="0"/>
        <w:spacing w:before="200" w:after="200"/>
        <w:jc w:val="left"/>
        <w:rPr/>
      </w:pPr>
      <w:r>
        <w:rPr/>
      </w:r>
    </w:p>
    <w:p>
      <w:pPr>
        <w:pStyle w:val="TextBody"/>
        <w:bidi w:val="0"/>
        <w:spacing w:lineRule="auto" w:line="300"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g)          </w:t>
      </w:r>
      <w:r>
        <w:rPr>
          <w:rFonts w:ascii="Times New Roman;Times;serif" w:hAnsi="Times New Roman;Times;serif"/>
          <w:color w:val="000000"/>
          <w:sz w:val="20"/>
          <w:u w:val="single"/>
        </w:rPr>
        <w:t>Voluntary Adjustment By Company</w:t>
      </w:r>
      <w:r>
        <w:rPr>
          <w:rFonts w:ascii="Times New Roman;Times;serif" w:hAnsi="Times New Roman;Times;serif"/>
          <w:color w:val="000000"/>
          <w:sz w:val="20"/>
        </w:rPr>
        <w:t>.  Subject to the rules and regulations of the Trading Market, the Company may at any time after June 26, 2026 through the term of this Warrant reduce the then current Exercise Price to any amount and for any period of time deemed appropriate by the board of directors of the Company.</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u w:val="single"/>
        </w:rPr>
        <w:t>Section 4</w:t>
      </w:r>
      <w:r>
        <w:rPr>
          <w:rFonts w:ascii="Times New Roman;Times;serif" w:hAnsi="Times New Roman;Times;serif"/>
          <w:color w:val="000000"/>
          <w:sz w:val="20"/>
        </w:rPr>
        <w:t>.          </w:t>
      </w:r>
      <w:r>
        <w:rPr>
          <w:rFonts w:ascii="Times New Roman;Times;serif" w:hAnsi="Times New Roman;Times;serif"/>
          <w:color w:val="000000"/>
          <w:sz w:val="20"/>
          <w:u w:val="single"/>
        </w:rPr>
        <w:t>Transfer of Warrant</w:t>
      </w:r>
      <w:r>
        <w:rPr>
          <w:rFonts w:ascii="Times New Roman;Times;serif" w:hAnsi="Times New Roman;Times;serif"/>
          <w:color w:val="000000"/>
          <w:sz w:val="20"/>
        </w:rPr>
        <w:t>.</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a)          </w:t>
      </w:r>
      <w:r>
        <w:rPr>
          <w:rFonts w:ascii="Times New Roman;Times;serif" w:hAnsi="Times New Roman;Times;serif"/>
          <w:color w:val="000000"/>
          <w:sz w:val="20"/>
          <w:u w:val="single"/>
        </w:rPr>
        <w:t>Transferability</w:t>
      </w:r>
      <w:r>
        <w:rPr>
          <w:rFonts w:ascii="Times New Roman;Times;serif" w:hAnsi="Times New Roman;Times;serif"/>
          <w:color w:val="000000"/>
          <w:sz w:val="20"/>
        </w:rPr>
        <w:t>.  Subject to compliance with any applicable securities laws and the conditions set forth in Section 4(d) hereof and to the provisions of Section 4.1 of the Purchase Agreement, this Warrant and all rights hereunder (including, without limitation, any registration rights) are transferable, in whole or in part, upon surrender of this Warrant at the principal office of the Company or its designated agent, together with a written assignment of this Warrant substantially in the form attached hereto duly executed by the Holder or its agent or attorney and funds sufficient to pay any transfer taxes payable upon the making of such transfer.  Upon such surrender and, if required, such payment, the Company shall execute and deliver a new Warrant or Warrants in the name of the assignee or assignees, as applicable, and in the denomination or denominations specified in such instrument of assignment, and shall issue to the assignor a new Warrant evidencing the portion of this Warrant not so assigned, and this Warrant shall promptly be cancelled.  Notwithstanding anything herein to the contrary, the Holder shall not be required to physically surrender this Warrant to the Company unless the Holder has assigned this Warrant in full, in which case, the Holder shall surrender this Warrant to the Company within three (3) Trading Days of the date on which the Holder delivers an assignment form to the Company assigning this Warrant in full.  The Warrant, if properly assigned in accordance herewith, may be exercised by a new holder for the purchase of Warrant Shares without having a new Warrant issued.</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b)          </w:t>
      </w:r>
      <w:r>
        <w:rPr>
          <w:rFonts w:ascii="Times New Roman;Times;serif" w:hAnsi="Times New Roman;Times;serif"/>
          <w:color w:val="000000"/>
          <w:sz w:val="20"/>
          <w:u w:val="single"/>
        </w:rPr>
        <w:t>New Warrants</w:t>
      </w:r>
      <w:r>
        <w:rPr>
          <w:rFonts w:ascii="Times New Roman;Times;serif" w:hAnsi="Times New Roman;Times;serif"/>
          <w:color w:val="000000"/>
          <w:sz w:val="20"/>
        </w:rPr>
        <w:t>.  This Warrant may be divided or combined with other Warrants upon presentation hereof at the aforesaid office of the Company, together with a written notice specifying the names and denominations in which new Warrants are to be issued, signed by the Holder or its agent or attorney.  Subject to compliance with Section 4(a), as to any transfer which may be involved in such division or combination, the Company shall execute and deliver a new Warrant or Warrants in exchange for the Warrant or Warrants to be divided or combined in accordance with such notice.  All Warrants issued on transfers or exchanges shall be dated the initial issuance date of this Warrant and shall be identical with this Warrant except as to the number of Warrant Shares issuable pursuant thereto.</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c)          </w:t>
      </w:r>
      <w:r>
        <w:rPr>
          <w:rFonts w:ascii="Times New Roman;Times;serif" w:hAnsi="Times New Roman;Times;serif"/>
          <w:color w:val="000000"/>
          <w:sz w:val="20"/>
          <w:u w:val="single"/>
        </w:rPr>
        <w:t>Warrant Register</w:t>
      </w:r>
      <w:r>
        <w:rPr>
          <w:rFonts w:ascii="Times New Roman;Times;serif" w:hAnsi="Times New Roman;Times;serif"/>
          <w:color w:val="000000"/>
          <w:sz w:val="20"/>
        </w:rPr>
        <w:t>.  The Company shall register this Warrant, upon records to be maintained by the Company for that purpose (the “</w:t>
      </w:r>
      <w:r>
        <w:rPr>
          <w:rFonts w:ascii="Times New Roman;Times;serif" w:hAnsi="Times New Roman;Times;serif"/>
          <w:color w:val="000000"/>
          <w:sz w:val="20"/>
          <w:u w:val="single"/>
        </w:rPr>
        <w:t>Warrant Register</w:t>
      </w:r>
      <w:r>
        <w:rPr>
          <w:rFonts w:ascii="Times New Roman;Times;serif" w:hAnsi="Times New Roman;Times;serif"/>
          <w:color w:val="000000"/>
          <w:sz w:val="20"/>
        </w:rPr>
        <w:t>”), in the name of the record Holder hereof from time to time.  The Company may deem and treat the registered Holder of this Warrant as the absolute owner hereof for the purpose of any exercise hereof or any distribution to the Holder, and for all other purposes, absent actual notice to the contrary.</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8</w:t>
      </w:r>
    </w:p>
    <w:p>
      <w:pPr>
        <w:pStyle w:val="HorizontalLine"/>
        <w:pBdr>
          <w:bottom w:val="single" w:sz="12" w:space="0" w:color="808080"/>
        </w:pBdr>
        <w:bidi w:val="0"/>
        <w:spacing w:before="200" w:after="200"/>
        <w:jc w:val="left"/>
        <w:rPr/>
      </w:pPr>
      <w:r>
        <w:rPr/>
      </w:r>
    </w:p>
    <w:p>
      <w:pPr>
        <w:pStyle w:val="TextBody"/>
        <w:bidi w:val="0"/>
        <w:spacing w:lineRule="auto" w:line="300"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d)          </w:t>
      </w:r>
      <w:r>
        <w:rPr>
          <w:rFonts w:ascii="Times New Roman;Times;serif" w:hAnsi="Times New Roman;Times;serif"/>
          <w:color w:val="000000"/>
          <w:sz w:val="20"/>
          <w:u w:val="single"/>
        </w:rPr>
        <w:t>Transfer Restrictions</w:t>
      </w:r>
      <w:r>
        <w:rPr>
          <w:rFonts w:ascii="Times New Roman;Times;serif" w:hAnsi="Times New Roman;Times;serif"/>
          <w:color w:val="000000"/>
          <w:sz w:val="20"/>
        </w:rPr>
        <w:t>.  If, at the time of the surrender of this Warrant in connection with any transfer of this Warrant, the transfer of this Warrant shall not be either (i) registered pursuant to an effective registration statement under the Securities Act and under applicable state securities or blue sky laws or (ii) eligible for resale without volume or manner-of-sale restrictions or current public information requirements pursuant to Rule 144, the Company may require, as a condition of allowing such transfer, that the Holder or transferee of this Warrant, as the case may be, comply with the provisions of Section 5.7 of the Purchase Agreement.</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e)          </w:t>
      </w:r>
      <w:r>
        <w:rPr>
          <w:rFonts w:ascii="Times New Roman;Times;serif" w:hAnsi="Times New Roman;Times;serif"/>
          <w:color w:val="000000"/>
          <w:sz w:val="20"/>
          <w:u w:val="single"/>
        </w:rPr>
        <w:t>Representation by the Holder</w:t>
      </w:r>
      <w:r>
        <w:rPr>
          <w:rFonts w:ascii="Times New Roman;Times;serif" w:hAnsi="Times New Roman;Times;serif"/>
          <w:color w:val="000000"/>
          <w:sz w:val="20"/>
        </w:rPr>
        <w:t>.  The Holder, by the acceptance hereof, represents and warrants that it is acquiring this Warrant and, upon any exercise hereof, will acquire the Warrant Shares issuable upon such exercise, for its own account and not with a view to or for distributing or reselling such Warrant Shares or any part thereof in violation of the Securities Act or any applicable state securities law, except pursuant to sales registered or exempted under the Securities Act.</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u w:val="single"/>
        </w:rPr>
        <w:t>Section 5</w:t>
      </w:r>
      <w:r>
        <w:rPr>
          <w:rFonts w:ascii="Times New Roman;Times;serif" w:hAnsi="Times New Roman;Times;serif"/>
          <w:color w:val="000000"/>
          <w:sz w:val="20"/>
        </w:rPr>
        <w:t>.          </w:t>
      </w:r>
      <w:r>
        <w:rPr>
          <w:rFonts w:ascii="Times New Roman;Times;serif" w:hAnsi="Times New Roman;Times;serif"/>
          <w:color w:val="000000"/>
          <w:sz w:val="20"/>
          <w:u w:val="single"/>
        </w:rPr>
        <w:t>Miscellaneous</w:t>
      </w:r>
      <w:r>
        <w:rPr>
          <w:rFonts w:ascii="Times New Roman;Times;serif" w:hAnsi="Times New Roman;Times;serif"/>
          <w:color w:val="000000"/>
          <w:sz w:val="20"/>
        </w:rPr>
        <w:t>.</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a)          </w:t>
      </w:r>
      <w:r>
        <w:rPr>
          <w:rFonts w:ascii="Times New Roman;Times;serif" w:hAnsi="Times New Roman;Times;serif"/>
          <w:color w:val="000000"/>
          <w:sz w:val="20"/>
          <w:u w:val="single"/>
        </w:rPr>
        <w:t>No Rights as Shareholder Until Exercise; No Settlement in Cash</w:t>
      </w:r>
      <w:r>
        <w:rPr>
          <w:rFonts w:ascii="Times New Roman;Times;serif" w:hAnsi="Times New Roman;Times;serif"/>
          <w:color w:val="000000"/>
          <w:sz w:val="20"/>
        </w:rPr>
        <w:t>.  This Warrant does not entitle the Holder to any voting rights, dividends or other rights as a shareholder of the Company prior to the exercise hereof as set forth in Section 2(d)(i), except as expressly set forth in Section 3.  Without limiting any rights of a Holder to receive Warrant Shares on a “cashless exercise” pursuant to Section 2(c) or to receive cash payments pursuant to Section 2(d)(i) and Section 2(d)(iv) herein, in no event shall the Company be required to net cash settle an exercise of this Warrant.</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b)          </w:t>
      </w:r>
      <w:r>
        <w:rPr>
          <w:rFonts w:ascii="Times New Roman;Times;serif" w:hAnsi="Times New Roman;Times;serif"/>
          <w:color w:val="000000"/>
          <w:sz w:val="20"/>
          <w:u w:val="single"/>
        </w:rPr>
        <w:t>Loss, Theft, Destruction or Mutilation of Warrant</w:t>
      </w:r>
      <w:r>
        <w:rPr>
          <w:rFonts w:ascii="Times New Roman;Times;serif" w:hAnsi="Times New Roman;Times;serif"/>
          <w:color w:val="000000"/>
          <w:sz w:val="20"/>
        </w:rPr>
        <w:t>.  The Company covenants that upon receipt by the Company of evidence reasonably satisfactory to it of the loss, theft, destruction or mutilation of this Warrant or any share certificate relating to the Warrant Shares, and in case of loss, theft or destruction, of indemnity or security reasonably satisfactory to it (which, in the case of the Warrant, shall not include the posting of any bond), and upon surrender and cancellation of such Warrant or share certificate, if mutilated, the Company will make and deliver a new Warrant or share certificate of like tenor and dated as of such cancellation, in lieu of such Warrant or share certificate.</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c)          </w:t>
      </w:r>
      <w:r>
        <w:rPr>
          <w:rFonts w:ascii="Times New Roman;Times;serif" w:hAnsi="Times New Roman;Times;serif"/>
          <w:color w:val="000000"/>
          <w:sz w:val="20"/>
          <w:u w:val="single"/>
        </w:rPr>
        <w:t>Saturdays, Sundays, Holidays, etc</w:t>
      </w:r>
      <w:r>
        <w:rPr>
          <w:rFonts w:ascii="Times New Roman;Times;serif" w:hAnsi="Times New Roman;Times;serif"/>
          <w:color w:val="000000"/>
          <w:sz w:val="20"/>
        </w:rPr>
        <w:t>.  If the last or appointed day for the taking of any action or the expiration of any right required or granted herein shall not be a Trading Day, then such action may be taken or such right may be exercised on the next succeeding Trading Day.</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d)          </w:t>
      </w:r>
      <w:r>
        <w:rPr>
          <w:rFonts w:ascii="Times New Roman;Times;serif" w:hAnsi="Times New Roman;Times;serif"/>
          <w:color w:val="000000"/>
          <w:sz w:val="20"/>
          <w:u w:val="single"/>
        </w:rPr>
        <w:t>Authorized Shares</w:t>
      </w:r>
      <w:r>
        <w:rPr>
          <w:rFonts w:ascii="Times New Roman;Times;serif" w:hAnsi="Times New Roman;Times;serif"/>
          <w:color w:val="000000"/>
          <w:sz w:val="20"/>
        </w:rPr>
        <w:t>.</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1440" w:right="0" w:firstLine="720"/>
        <w:jc w:val="both"/>
        <w:rPr>
          <w:rFonts w:ascii="Times New Roman;Times;serif" w:hAnsi="Times New Roman;Times;serif"/>
          <w:color w:val="000000"/>
          <w:sz w:val="20"/>
        </w:rPr>
      </w:pPr>
      <w:r>
        <w:rPr>
          <w:rFonts w:ascii="Times New Roman;Times;serif" w:hAnsi="Times New Roman;Times;serif"/>
          <w:color w:val="000000"/>
          <w:sz w:val="20"/>
        </w:rPr>
        <w:t>The Company covenants that, during the period the Warrant is outstanding, it will reserve from its authorized and unissued Ordinary Shares a sufficient number of shares to provide for the issuance of the Warrant Shares upon the exercise of any purchase rights under this Warrant.  The Company further covenants that its issuance of this Warrant shall constitute full authority to its officers who are charged with the duty of issuing the necessary Warrant Shares upon the exercise of the purchase rights under this Warrant.  The Company will take all such reasonable action as may be necessary to assure that such Warrant Shares may be issued as provided herein without violation of any applicable law or regulation, or of any requirements of the Trading Market upon which the Ordinary Shares may be listed.  The Company covenants that all Warrant Shares which may be issued upon the exercise of the purchase rights represented by this Warrant will, upon exercise of the purchase rights represented by this Warrant and payment for such Warrant Shares in accordance herewith, be duly authorized, validly issued, fully paid and nonassessable and free from all taxes, liens and charges created by the Company in respect of the issue thereof (other than taxes in respect of any transfer occurring contemporaneously with such issue).</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1440" w:right="0" w:firstLine="720"/>
        <w:jc w:val="both"/>
        <w:rPr>
          <w:rFonts w:ascii="Times New Roman;Times;serif" w:hAnsi="Times New Roman;Times;serif"/>
          <w:color w:val="000000"/>
          <w:sz w:val="20"/>
        </w:rPr>
      </w:pPr>
      <w:r>
        <w:rPr>
          <w:rFonts w:ascii="Times New Roman;Times;serif" w:hAnsi="Times New Roman;Times;serif"/>
          <w:color w:val="000000"/>
          <w:sz w:val="20"/>
        </w:rPr>
        <w:t>Except and to the extent as waived or consented to by the Holder, the Company shall not by any action, including, without limitation, amending its articles of association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(i) not increase the par value of any Warrant Shares above the amount payable therefor upon such exercise immediately prior to such increase in par value, (ii) take all such action as may be necessary or appropriate in order that the Company may validly and legally issue fully paid and nonassessable Warrant Shares upon the exercise of this Warrant and (iii) use commercially reasonable efforts to obtain all such authorizations, exemptions or consents from any public regulatory body having jurisdiction thereof, as may be, necessary to enable the Company to perform its obligations under this Warrant.</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9</w:t>
      </w:r>
    </w:p>
    <w:p>
      <w:pPr>
        <w:pStyle w:val="HorizontalLine"/>
        <w:pBdr>
          <w:bottom w:val="single" w:sz="12" w:space="0" w:color="808080"/>
        </w:pBdr>
        <w:bidi w:val="0"/>
        <w:spacing w:before="200" w:after="200"/>
        <w:jc w:val="left"/>
        <w:rPr/>
      </w:pPr>
      <w:r>
        <w:rPr/>
      </w:r>
    </w:p>
    <w:p>
      <w:pPr>
        <w:pStyle w:val="TextBody"/>
        <w:bidi w:val="0"/>
        <w:spacing w:lineRule="auto" w:line="300" w:before="0" w:after="0"/>
        <w:ind w:left="1440" w:right="0" w:firstLine="720"/>
        <w:jc w:val="both"/>
        <w:rPr>
          <w:rFonts w:ascii="Times New Roman;Times;serif" w:hAnsi="Times New Roman;Times;serif"/>
          <w:color w:val="000000"/>
          <w:sz w:val="20"/>
        </w:rPr>
      </w:pPr>
      <w:r>
        <w:rPr>
          <w:rFonts w:ascii="Times New Roman;Times;serif" w:hAnsi="Times New Roman;Times;serif"/>
          <w:color w:val="000000"/>
          <w:sz w:val="20"/>
        </w:rPr>
        <w:t>Before taking any action which would result in an adjustment in the number of Warrant Shares for which this Warrant is exercisable or in the Exercise Price, the Company shall obtain all such authorizations or exemptions thereof, or consents thereto, as may be necessary from any public regulatory body or bodies having jurisdiction thereof.</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e)          </w:t>
      </w:r>
      <w:r>
        <w:rPr>
          <w:rFonts w:ascii="Times New Roman;Times;serif" w:hAnsi="Times New Roman;Times;serif"/>
          <w:color w:val="000000"/>
          <w:sz w:val="20"/>
          <w:u w:val="single"/>
        </w:rPr>
        <w:t>Jurisdiction</w:t>
      </w:r>
      <w:r>
        <w:rPr>
          <w:rFonts w:ascii="Times New Roman;Times;serif" w:hAnsi="Times New Roman;Times;serif"/>
          <w:color w:val="000000"/>
          <w:sz w:val="20"/>
        </w:rPr>
        <w:t>.  All questions concerning the construction, validity, enforcement and interpretation of this Warrant shall be determined in accordance with the provisions of the Purchase Agreement.</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f)          </w:t>
      </w:r>
      <w:r>
        <w:rPr>
          <w:rFonts w:ascii="Times New Roman;Times;serif" w:hAnsi="Times New Roman;Times;serif"/>
          <w:color w:val="000000"/>
          <w:sz w:val="20"/>
          <w:u w:val="single"/>
        </w:rPr>
        <w:t>Restrictions</w:t>
      </w:r>
      <w:r>
        <w:rPr>
          <w:rFonts w:ascii="Times New Roman;Times;serif" w:hAnsi="Times New Roman;Times;serif"/>
          <w:color w:val="000000"/>
          <w:sz w:val="20"/>
        </w:rPr>
        <w:t>.  The Holder acknowledges that the Warrant Shares acquired upon the exercise of this Warrant, if not registered, and the Holder does not utilize cashless exercise, will have restrictions upon resale imposed by state and federal securities laws.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g)          </w:t>
      </w:r>
      <w:r>
        <w:rPr>
          <w:rFonts w:ascii="Times New Roman;Times;serif" w:hAnsi="Times New Roman;Times;serif"/>
          <w:color w:val="000000"/>
          <w:sz w:val="20"/>
          <w:u w:val="single"/>
        </w:rPr>
        <w:t>Nonwaiver and Expenses</w:t>
      </w:r>
      <w:r>
        <w:rPr>
          <w:rFonts w:ascii="Times New Roman;Times;serif" w:hAnsi="Times New Roman;Times;serif"/>
          <w:color w:val="000000"/>
          <w:sz w:val="20"/>
        </w:rPr>
        <w:t>.  No course of dealing or any delay or failure to exercise any right hereunder on the part of Holder shall operate as a waiver of such right or otherwise prejudice the Holder’s rights, powers or remedies, notwithstanding the fact that the right to exercise this Warrant terminates on the Termination Date.  Without limiting any other provision of this Warrant or the Purchase Agreement, if the Company willfully and knowingly fails to comply with any provision of this Warrant, which results in any material damages to the Holder, the Company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 hereunder.</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h)          </w:t>
      </w:r>
      <w:r>
        <w:rPr>
          <w:rFonts w:ascii="Times New Roman;Times;serif" w:hAnsi="Times New Roman;Times;serif"/>
          <w:color w:val="000000"/>
          <w:sz w:val="20"/>
          <w:u w:val="single"/>
        </w:rPr>
        <w:t>Notices</w:t>
      </w:r>
      <w:r>
        <w:rPr>
          <w:rFonts w:ascii="Times New Roman;Times;serif" w:hAnsi="Times New Roman;Times;serif"/>
          <w:color w:val="000000"/>
          <w:sz w:val="20"/>
        </w:rPr>
        <w:t>.  Any notice, request or other document required or permitted to be given or delivered to the Holder by the Company shall be delivered in accordance with the notice provisions of the Purchase Agreement.</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i)          </w:t>
      </w:r>
      <w:r>
        <w:rPr>
          <w:rFonts w:ascii="Times New Roman;Times;serif" w:hAnsi="Times New Roman;Times;serif"/>
          <w:color w:val="000000"/>
          <w:sz w:val="20"/>
          <w:u w:val="single"/>
        </w:rPr>
        <w:t>Limitation of Liability</w:t>
      </w:r>
      <w:r>
        <w:rPr>
          <w:rFonts w:ascii="Times New Roman;Times;serif" w:hAnsi="Times New Roman;Times;serif"/>
          <w:color w:val="000000"/>
          <w:sz w:val="20"/>
        </w:rPr>
        <w:t>.  No provision hereof, in the absence of any affirmative action by the Holder to exercise this Warrant to purchase Warrant Shares, and no enumeration herein of the rights or privileges of the Holder, shall give rise to any liability of the Holder for the purchase price of any Ordinary Shares or as a shareholder of the Company, whether such liability is asserted by the Company or by creditors of the Company.</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j)          </w:t>
      </w:r>
      <w:r>
        <w:rPr>
          <w:rFonts w:ascii="Times New Roman;Times;serif" w:hAnsi="Times New Roman;Times;serif"/>
          <w:color w:val="000000"/>
          <w:sz w:val="20"/>
          <w:u w:val="single"/>
        </w:rPr>
        <w:t>Remedies</w:t>
      </w:r>
      <w:r>
        <w:rPr>
          <w:rFonts w:ascii="Times New Roman;Times;serif" w:hAnsi="Times New Roman;Times;serif"/>
          <w:color w:val="000000"/>
          <w:sz w:val="20"/>
        </w:rPr>
        <w:t>.  The Holder, in addition to being entitled to exercise all rights granted by law, including recovery of damages, will be entitled to specific performance of its rights under this Warrant.  The Company agrees that monetary damages would not be adequate compensation for any loss incurred by reason of a breach by it of the provisions of this Warrant and hereby agrees to waive and not to assert the defense in any action for specific performance that a remedy at law would be adequate.</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k)          </w:t>
      </w:r>
      <w:r>
        <w:rPr>
          <w:rFonts w:ascii="Times New Roman;Times;serif" w:hAnsi="Times New Roman;Times;serif"/>
          <w:color w:val="000000"/>
          <w:sz w:val="20"/>
          <w:u w:val="single"/>
        </w:rPr>
        <w:t>Successors and Assigns</w:t>
      </w:r>
      <w:r>
        <w:rPr>
          <w:rFonts w:ascii="Times New Roman;Times;serif" w:hAnsi="Times New Roman;Times;serif"/>
          <w:color w:val="000000"/>
          <w:sz w:val="20"/>
        </w:rPr>
        <w:t>.  Subject to applicable securities laws, this Warrant and the rights and obligations evidenced hereby shall inure to the benefit of and be binding upon the successors and permitted assigns of the Company and the successors and permitted assigns of Holder.  The provisions of this Warrant are intended to be for the benefit of any Holder from time to time of this Warrant and shall be enforceable by the Holder or holder of Warrant Shares.</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10</w:t>
      </w:r>
    </w:p>
    <w:p>
      <w:pPr>
        <w:pStyle w:val="HorizontalLine"/>
        <w:pBdr>
          <w:bottom w:val="single" w:sz="12" w:space="0" w:color="808080"/>
        </w:pBdr>
        <w:bidi w:val="0"/>
        <w:spacing w:before="200" w:after="200"/>
        <w:jc w:val="left"/>
        <w:rPr/>
      </w:pPr>
      <w:r>
        <w:rPr/>
      </w:r>
    </w:p>
    <w:p>
      <w:pPr>
        <w:pStyle w:val="TextBody"/>
        <w:bidi w:val="0"/>
        <w:spacing w:lineRule="auto" w:line="300"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l)          </w:t>
      </w:r>
      <w:r>
        <w:rPr>
          <w:rFonts w:ascii="Times New Roman;Times;serif" w:hAnsi="Times New Roman;Times;serif"/>
          <w:color w:val="000000"/>
          <w:sz w:val="20"/>
          <w:u w:val="single"/>
        </w:rPr>
        <w:t>Amendment</w:t>
      </w:r>
      <w:r>
        <w:rPr>
          <w:rFonts w:ascii="Times New Roman;Times;serif" w:hAnsi="Times New Roman;Times;serif"/>
          <w:color w:val="000000"/>
          <w:sz w:val="20"/>
        </w:rPr>
        <w:t>.  Other than Section 2(e) and this Section 5(l), which may not be modified, amended or waived, this Warrant may be modified or amended or the provisions hereof waived with the written consent of the Company, on the one hand, and the Holder of this Warrant, on the other hand.  Additionally, any waiver to any of the Warrants by the Majority Holders, or any amendment to the Warrants as agreed upon in writing by the Company and the Majority Holders, shall automatically apply to this Warrant.</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m)          </w:t>
      </w:r>
      <w:r>
        <w:rPr>
          <w:rFonts w:ascii="Times New Roman;Times;serif" w:hAnsi="Times New Roman;Times;serif"/>
          <w:color w:val="000000"/>
          <w:sz w:val="20"/>
          <w:u w:val="single"/>
        </w:rPr>
        <w:t>Severability</w:t>
      </w:r>
      <w:r>
        <w:rPr>
          <w:rFonts w:ascii="Times New Roman;Times;serif" w:hAnsi="Times New Roman;Times;serif"/>
          <w:color w:val="000000"/>
          <w:sz w:val="20"/>
        </w:rPr>
        <w:t>.  Wherever possible, each provision of this Warrant shall be interpreted in such manner as to be effective and valid under applicable law, but if any provision of this Warrant shall be prohibited by or invalid under applicable law, such provision shall be ineffective to the extent of such prohibition or invalidity, without invalidating the remainder of such provisions or the remaining provisions of this Warrant.</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n)          </w:t>
      </w:r>
      <w:r>
        <w:rPr>
          <w:rFonts w:ascii="Times New Roman;Times;serif" w:hAnsi="Times New Roman;Times;serif"/>
          <w:color w:val="000000"/>
          <w:sz w:val="20"/>
          <w:u w:val="single"/>
        </w:rPr>
        <w:t>Headings</w:t>
      </w:r>
      <w:r>
        <w:rPr>
          <w:rFonts w:ascii="Times New Roman;Times;serif" w:hAnsi="Times New Roman;Times;serif"/>
          <w:color w:val="000000"/>
          <w:sz w:val="20"/>
        </w:rPr>
        <w:t>.  The headings used in this Warrant are for the convenience of reference only and shall not, for any purpose, be deemed a part of this Warrant.</w:t>
      </w:r>
    </w:p>
    <w:p>
      <w:pPr>
        <w:pStyle w:val="TextBody"/>
        <w:bidi w:val="0"/>
        <w:spacing w:lineRule="auto" w:line="300" w:before="0" w:after="0"/>
        <w:jc w:val="left"/>
        <w:rPr/>
      </w:pPr>
      <w:r>
        <w:rPr/>
      </w:r>
    </w:p>
    <w:p>
      <w:pPr>
        <w:pStyle w:val="TextBody"/>
        <w:bidi w:val="0"/>
        <w:spacing w:lineRule="auto" w:line="300" w:before="0" w:after="0"/>
        <w:jc w:val="center"/>
        <w:rPr>
          <w:rFonts w:ascii="Times New Roman;Times;serif" w:hAnsi="Times New Roman;Times;serif"/>
          <w:color w:val="000000"/>
          <w:sz w:val="20"/>
        </w:rPr>
      </w:pPr>
      <w:r>
        <w:rPr>
          <w:rFonts w:ascii="Times New Roman;Times;serif" w:hAnsi="Times New Roman;Times;serif"/>
          <w:color w:val="000000"/>
          <w:sz w:val="20"/>
        </w:rPr>
        <w:t>********************</w:t>
      </w:r>
    </w:p>
    <w:p>
      <w:pPr>
        <w:pStyle w:val="TextBody"/>
        <w:bidi w:val="0"/>
        <w:spacing w:lineRule="auto" w:line="300" w:before="0" w:after="0"/>
        <w:jc w:val="left"/>
        <w:rPr/>
      </w:pPr>
      <w:r>
        <w:rPr/>
      </w:r>
    </w:p>
    <w:p>
      <w:pPr>
        <w:pStyle w:val="TextBody"/>
        <w:bidi w:val="0"/>
        <w:spacing w:lineRule="auto" w:line="300" w:before="0" w:after="0"/>
        <w:jc w:val="center"/>
        <w:rPr>
          <w:rFonts w:ascii="Times New Roman;Times;serif" w:hAnsi="Times New Roman;Times;serif"/>
          <w:i/>
          <w:color w:val="000000"/>
          <w:sz w:val="20"/>
        </w:rPr>
      </w:pPr>
      <w:r>
        <w:rPr>
          <w:rFonts w:ascii="Times New Roman;Times;serif" w:hAnsi="Times New Roman;Times;serif"/>
          <w:i/>
          <w:color w:val="000000"/>
          <w:sz w:val="20"/>
        </w:rPr>
        <w:t>(Signature Page Follows)</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11</w:t>
      </w:r>
    </w:p>
    <w:p>
      <w:pPr>
        <w:pStyle w:val="HorizontalLine"/>
        <w:pBdr>
          <w:bottom w:val="single" w:sz="12" w:space="0" w:color="808080"/>
        </w:pBdr>
        <w:bidi w:val="0"/>
        <w:spacing w:before="200" w:after="200"/>
        <w:jc w:val="left"/>
        <w:rPr/>
      </w:pPr>
      <w:r>
        <w:rPr/>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IN WITNESS WHEREOF, the Company has caused this Warrant to be executed by its officer thereunto duly authorized as of the date first above indicated.</w:t>
      </w:r>
    </w:p>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118" w:name="zaaea537623634d7f8687b8bab70bae25"/>
      <w:bookmarkStart w:id="119" w:name="zaaea537623634d7f8687b8bab70bae25"/>
      <w:bookmarkEnd w:id="119"/>
    </w:p>
    <w:tbl>
      <w:tblPr>
        <w:tblW w:w="4835" w:type="dxa"/>
        <w:jc w:val="left"/>
        <w:tblInd w:w="0" w:type="dxa"/>
        <w:tblLayout w:type="fixed"/>
        <w:tblCellMar>
          <w:top w:w="0" w:type="dxa"/>
          <w:left w:w="0" w:type="dxa"/>
          <w:bottom w:w="0" w:type="dxa"/>
          <w:right w:w="0" w:type="dxa"/>
        </w:tblCellMar>
      </w:tblPr>
      <w:tblGrid>
        <w:gridCol w:w="60"/>
        <w:gridCol w:w="4775"/>
      </w:tblGrid>
      <w:tr>
        <w:trPr/>
        <w:tc>
          <w:tcPr>
            <w:tcW w:w="60" w:type="dxa"/>
            <w:tcBorders/>
            <w:vAlign w:val="center"/>
          </w:tcPr>
          <w:p>
            <w:pPr>
              <w:pStyle w:val="TableContents"/>
              <w:bidi w:val="0"/>
              <w:spacing w:before="0" w:after="283"/>
              <w:jc w:val="left"/>
              <w:rPr/>
            </w:pPr>
            <w:r>
              <w:rPr/>
              <w:t> </w:t>
            </w:r>
          </w:p>
        </w:tc>
        <w:tc>
          <w:tcPr>
            <w:tcW w:w="4775" w:type="dxa"/>
            <w:tcBorders/>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LIFEWARD LTD.</w:t>
            </w:r>
          </w:p>
        </w:tc>
      </w:tr>
      <w:tr>
        <w:trPr/>
        <w:tc>
          <w:tcPr>
            <w:tcW w:w="60" w:type="dxa"/>
            <w:tcBorders/>
            <w:vAlign w:val="center"/>
          </w:tcPr>
          <w:p>
            <w:pPr>
              <w:pStyle w:val="TableContents"/>
              <w:bidi w:val="0"/>
              <w:spacing w:before="0" w:after="283"/>
              <w:jc w:val="left"/>
              <w:rPr/>
            </w:pPr>
            <w:r>
              <w:rPr/>
              <w:t> </w:t>
            </w:r>
          </w:p>
        </w:tc>
        <w:tc>
          <w:tcPr>
            <w:tcW w:w="477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477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By: __________________________________________</w:t>
            </w:r>
          </w:p>
          <w:p>
            <w:pPr>
              <w:pStyle w:val="TableContents"/>
              <w:bidi w:val="0"/>
              <w:spacing w:lineRule="auto" w:line="300" w:before="0" w:after="0"/>
              <w:ind w:left="360" w:right="0" w:hanging="0"/>
              <w:jc w:val="left"/>
              <w:rPr>
                <w:rFonts w:ascii="Times New Roman;Times;serif" w:hAnsi="Times New Roman;Times;serif"/>
                <w:sz w:val="20"/>
              </w:rPr>
            </w:pPr>
            <w:r>
              <w:rPr>
                <w:rFonts w:ascii="Times New Roman;Times;serif" w:hAnsi="Times New Roman;Times;serif"/>
                <w:sz w:val="20"/>
              </w:rPr>
              <w:t>Name: William Mark Grant</w:t>
            </w:r>
          </w:p>
          <w:p>
            <w:pPr>
              <w:pStyle w:val="TableContents"/>
              <w:bidi w:val="0"/>
              <w:spacing w:lineRule="auto" w:line="300" w:before="0" w:after="0"/>
              <w:ind w:left="360" w:right="0" w:hanging="0"/>
              <w:jc w:val="left"/>
              <w:rPr>
                <w:rFonts w:ascii="Times New Roman;Times;serif" w:hAnsi="Times New Roman;Times;serif"/>
                <w:sz w:val="20"/>
              </w:rPr>
            </w:pPr>
            <w:r>
              <w:rPr>
                <w:rFonts w:ascii="Times New Roman;Times;serif" w:hAnsi="Times New Roman;Times;serif"/>
                <w:sz w:val="20"/>
              </w:rPr>
              <w:t>Title: President and Chief Executive Officer</w:t>
            </w:r>
          </w:p>
        </w:tc>
      </w:tr>
    </w:tbl>
    <w:p>
      <w:pPr>
        <w:pStyle w:val="TextBody"/>
        <w:bidi w:val="0"/>
        <w:spacing w:lineRule="auto" w:line="300" w:before="0" w:after="0"/>
        <w:jc w:val="left"/>
        <w:rPr/>
      </w:pPr>
      <w:r>
        <w:rPr/>
      </w:r>
    </w:p>
    <w:p>
      <w:pPr>
        <w:pStyle w:val="HorizontalLine"/>
        <w:pBdr>
          <w:bottom w:val="single" w:sz="12" w:space="0" w:color="808080"/>
        </w:pBdr>
        <w:bidi w:val="0"/>
        <w:spacing w:before="200" w:after="200"/>
        <w:jc w:val="left"/>
        <w:rPr/>
      </w:pPr>
      <w:r>
        <w:rPr/>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NOTICE OF EXERCISE</w:t>
      </w:r>
    </w:p>
    <w:p>
      <w:pPr>
        <w:pStyle w:val="TextBody"/>
        <w:bidi w:val="0"/>
        <w:spacing w:lineRule="auto" w:line="300" w:before="0" w:after="0"/>
        <w:jc w:val="left"/>
        <w:rPr/>
      </w:pPr>
      <w:r>
        <w:rPr/>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TO:          [_______________________]</w:t>
      </w:r>
    </w:p>
    <w:p>
      <w:pPr>
        <w:pStyle w:val="TextBody"/>
        <w:bidi w:val="0"/>
        <w:spacing w:lineRule="auto" w:line="300" w:before="0" w:after="0"/>
        <w:jc w:val="left"/>
        <w:rPr/>
      </w:pPr>
      <w:r>
        <w:rPr/>
      </w:r>
    </w:p>
    <w:p>
      <w:pPr>
        <w:pStyle w:val="TextBody"/>
        <w:bidi w:val="0"/>
        <w:spacing w:lineRule="auto" w:line="300" w:before="0" w:after="0"/>
        <w:ind w:left="0" w:right="0" w:firstLine="1440"/>
        <w:jc w:val="both"/>
        <w:rPr>
          <w:rFonts w:ascii="Times New Roman;Times;serif" w:hAnsi="Times New Roman;Times;serif"/>
          <w:color w:val="000000"/>
          <w:sz w:val="20"/>
        </w:rPr>
      </w:pPr>
      <w:r>
        <w:rPr>
          <w:rFonts w:ascii="Times New Roman;Times;serif" w:hAnsi="Times New Roman;Times;serif"/>
          <w:color w:val="000000"/>
          <w:sz w:val="20"/>
        </w:rPr>
        <w:t>(1)          The undersigned hereby elects to purchase ________ Warrant Shares of the Company pursuant to the terms of the attached Warrant (only if exercised in full), and tenders herewith payment of the exercise price in full, together with all applicable transfer taxes, if any.</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1440"/>
        <w:jc w:val="both"/>
        <w:rPr>
          <w:rFonts w:ascii="Times New Roman;Times;serif" w:hAnsi="Times New Roman;Times;serif"/>
          <w:color w:val="000000"/>
          <w:sz w:val="20"/>
        </w:rPr>
      </w:pPr>
      <w:r>
        <w:rPr>
          <w:rFonts w:ascii="Times New Roman;Times;serif" w:hAnsi="Times New Roman;Times;serif"/>
          <w:color w:val="000000"/>
          <w:sz w:val="20"/>
        </w:rPr>
        <w:t>(2)          Payment shall take the form of (check applicable box):</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2160" w:right="0" w:hanging="0"/>
        <w:jc w:val="both"/>
        <w:rPr>
          <w:rFonts w:ascii="Times New Roman;Times;serif" w:hAnsi="Times New Roman;Times;serif"/>
          <w:color w:val="000000"/>
          <w:sz w:val="20"/>
        </w:rPr>
      </w:pPr>
      <w:r>
        <w:rPr>
          <w:rFonts w:ascii="Times New Roman;Times;serif" w:hAnsi="Times New Roman;Times;serif"/>
          <w:color w:val="000000"/>
          <w:sz w:val="20"/>
        </w:rPr>
        <w:t>[  ] in lawful money of the United States; or</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2160" w:right="0" w:hanging="0"/>
        <w:jc w:val="both"/>
        <w:rPr>
          <w:rFonts w:ascii="Times New Roman;Times;serif" w:hAnsi="Times New Roman;Times;serif"/>
          <w:color w:val="000000"/>
          <w:sz w:val="20"/>
        </w:rPr>
      </w:pPr>
      <w:r>
        <w:rPr>
          <w:rFonts w:ascii="Times New Roman;Times;serif" w:hAnsi="Times New Roman;Times;serif"/>
          <w:color w:val="000000"/>
          <w:sz w:val="20"/>
        </w:rPr>
        <w:t>[  ] the cancellation of such number of Warrant Shares as is necessary, in accordance with the formula set forth in subsection 2(c), to exercise this Warrant with respect to the maximum number of Warrant Shares purchasable pursuant to the cashless exercise procedure set forth in subsection 2(c).</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1440"/>
        <w:jc w:val="both"/>
        <w:rPr>
          <w:rFonts w:ascii="Times New Roman;Times;serif" w:hAnsi="Times New Roman;Times;serif"/>
          <w:color w:val="000000"/>
          <w:sz w:val="20"/>
        </w:rPr>
      </w:pPr>
      <w:r>
        <w:rPr>
          <w:rFonts w:ascii="Times New Roman;Times;serif" w:hAnsi="Times New Roman;Times;serif"/>
          <w:color w:val="000000"/>
          <w:sz w:val="20"/>
        </w:rPr>
        <w:t>(3)          Please issue said Warrant Shares in the name of the undersigned or in such other name as is specified below:</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2160"/>
        <w:jc w:val="both"/>
        <w:rPr>
          <w:rFonts w:ascii="Times New Roman;Times;serif" w:hAnsi="Times New Roman;Times;serif"/>
          <w:color w:val="000000"/>
          <w:sz w:val="20"/>
        </w:rPr>
      </w:pPr>
      <w:r>
        <w:rPr>
          <w:rFonts w:ascii="Times New Roman;Times;serif" w:hAnsi="Times New Roman;Times;serif"/>
          <w:color w:val="000000"/>
          <w:sz w:val="20"/>
        </w:rPr>
        <w:t>_______________________________</w:t>
      </w:r>
    </w:p>
    <w:p>
      <w:pPr>
        <w:pStyle w:val="TextBody"/>
        <w:bidi w:val="0"/>
        <w:spacing w:lineRule="auto" w:line="300" w:before="0" w:after="0"/>
        <w:jc w:val="left"/>
        <w:rPr/>
      </w:pPr>
      <w:r>
        <w:rPr/>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The Warrant Shares shall be delivered to the following DWAC Account Number:</w:t>
      </w:r>
    </w:p>
    <w:p>
      <w:pPr>
        <w:pStyle w:val="TextBody"/>
        <w:bidi w:val="0"/>
        <w:spacing w:lineRule="auto" w:line="300" w:before="0" w:after="0"/>
        <w:jc w:val="left"/>
        <w:rPr/>
      </w:pPr>
      <w:r>
        <w:rPr/>
      </w:r>
    </w:p>
    <w:p>
      <w:pPr>
        <w:pStyle w:val="TextBody"/>
        <w:bidi w:val="0"/>
        <w:spacing w:lineRule="auto" w:line="300" w:before="0" w:after="0"/>
        <w:ind w:left="0" w:right="0" w:firstLine="2160"/>
        <w:jc w:val="both"/>
        <w:rPr>
          <w:rFonts w:ascii="Times New Roman;Times;serif" w:hAnsi="Times New Roman;Times;serif"/>
          <w:color w:val="000000"/>
          <w:sz w:val="20"/>
        </w:rPr>
      </w:pPr>
      <w:r>
        <w:rPr>
          <w:rFonts w:ascii="Times New Roman;Times;serif" w:hAnsi="Times New Roman;Times;serif"/>
          <w:color w:val="000000"/>
          <w:sz w:val="20"/>
        </w:rPr>
        <w:t>_______________________________</w:t>
      </w:r>
    </w:p>
    <w:p>
      <w:pPr>
        <w:pStyle w:val="TextBody"/>
        <w:bidi w:val="0"/>
        <w:spacing w:lineRule="auto" w:line="300" w:before="0" w:after="0"/>
        <w:jc w:val="left"/>
        <w:rPr/>
      </w:pPr>
      <w:r>
        <w:rPr/>
      </w:r>
    </w:p>
    <w:p>
      <w:pPr>
        <w:pStyle w:val="TextBody"/>
        <w:bidi w:val="0"/>
        <w:spacing w:lineRule="auto" w:line="300" w:before="0" w:after="0"/>
        <w:ind w:left="0" w:right="0" w:firstLine="2160"/>
        <w:jc w:val="both"/>
        <w:rPr>
          <w:rFonts w:ascii="Times New Roman;Times;serif" w:hAnsi="Times New Roman;Times;serif"/>
          <w:color w:val="000000"/>
          <w:sz w:val="20"/>
        </w:rPr>
      </w:pPr>
      <w:r>
        <w:rPr>
          <w:rFonts w:ascii="Times New Roman;Times;serif" w:hAnsi="Times New Roman;Times;serif"/>
          <w:color w:val="000000"/>
          <w:sz w:val="20"/>
        </w:rPr>
        <w:t>_______________________________</w:t>
      </w:r>
    </w:p>
    <w:p>
      <w:pPr>
        <w:pStyle w:val="TextBody"/>
        <w:bidi w:val="0"/>
        <w:spacing w:lineRule="auto" w:line="300" w:before="0" w:after="0"/>
        <w:jc w:val="left"/>
        <w:rPr/>
      </w:pPr>
      <w:r>
        <w:rPr/>
      </w:r>
    </w:p>
    <w:p>
      <w:pPr>
        <w:pStyle w:val="TextBody"/>
        <w:bidi w:val="0"/>
        <w:spacing w:lineRule="auto" w:line="300" w:before="0" w:after="0"/>
        <w:ind w:left="0" w:right="0" w:firstLine="2160"/>
        <w:jc w:val="both"/>
        <w:rPr>
          <w:rFonts w:ascii="Times New Roman;Times;serif" w:hAnsi="Times New Roman;Times;serif"/>
          <w:color w:val="000000"/>
          <w:sz w:val="20"/>
        </w:rPr>
      </w:pPr>
      <w:r>
        <w:rPr>
          <w:rFonts w:ascii="Times New Roman;Times;serif" w:hAnsi="Times New Roman;Times;serif"/>
          <w:color w:val="000000"/>
          <w:sz w:val="20"/>
        </w:rPr>
        <w:t>_______________________________</w:t>
      </w:r>
    </w:p>
    <w:p>
      <w:pPr>
        <w:pStyle w:val="TextBody"/>
        <w:bidi w:val="0"/>
        <w:spacing w:lineRule="auto" w:line="300" w:before="0" w:after="0"/>
        <w:jc w:val="left"/>
        <w:rPr/>
      </w:pPr>
      <w:r>
        <w:rPr/>
      </w:r>
    </w:p>
    <w:p>
      <w:pPr>
        <w:pStyle w:val="TextBody"/>
        <w:bidi w:val="0"/>
        <w:spacing w:lineRule="auto" w:line="300" w:before="0" w:after="0"/>
        <w:ind w:left="0" w:right="0" w:firstLine="1440"/>
        <w:jc w:val="both"/>
        <w:rPr>
          <w:rFonts w:ascii="Times New Roman;Times;serif" w:hAnsi="Times New Roman;Times;serif"/>
          <w:color w:val="000000"/>
          <w:sz w:val="20"/>
        </w:rPr>
      </w:pPr>
      <w:r>
        <w:rPr>
          <w:rFonts w:ascii="Times New Roman;Times;serif" w:hAnsi="Times New Roman;Times;serif"/>
          <w:color w:val="000000"/>
          <w:sz w:val="20"/>
        </w:rPr>
        <w:t>(4)          </w:t>
      </w:r>
      <w:r>
        <w:rPr>
          <w:rFonts w:ascii="Times New Roman;Times;serif" w:hAnsi="Times New Roman;Times;serif"/>
          <w:color w:val="000000"/>
          <w:sz w:val="20"/>
          <w:u w:val="single"/>
        </w:rPr>
        <w:t>Accredited Investor</w:t>
      </w:r>
      <w:r>
        <w:rPr>
          <w:rFonts w:ascii="Times New Roman;Times;serif" w:hAnsi="Times New Roman;Times;serif"/>
          <w:color w:val="000000"/>
          <w:sz w:val="20"/>
        </w:rPr>
        <w:t>.  The undersigned is an “accredited investor” as defined in Regulation D promulgated under the Securities Act of 1933, as amended.</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[SIGNATURE OF HOLDER]</w:t>
      </w:r>
    </w:p>
    <w:p>
      <w:pPr>
        <w:pStyle w:val="TextBody"/>
        <w:bidi w:val="0"/>
        <w:spacing w:lineRule="auto" w:line="300" w:before="0" w:after="0"/>
        <w:jc w:val="left"/>
        <w:rPr/>
      </w:pPr>
      <w:r>
        <w:rPr/>
      </w:r>
    </w:p>
    <w:tbl>
      <w:tblPr>
        <w:tblW w:w="2525" w:type="dxa"/>
        <w:jc w:val="left"/>
        <w:tblInd w:w="0" w:type="dxa"/>
        <w:tblLayout w:type="fixed"/>
        <w:tblCellMar>
          <w:top w:w="0" w:type="dxa"/>
          <w:left w:w="0" w:type="dxa"/>
          <w:bottom w:w="0" w:type="dxa"/>
          <w:right w:w="0" w:type="dxa"/>
        </w:tblCellMar>
      </w:tblPr>
      <w:tblGrid>
        <w:gridCol w:w="2465"/>
        <w:gridCol w:w="60"/>
      </w:tblGrid>
      <w:tr>
        <w:trPr/>
        <w:tc>
          <w:tcPr>
            <w:tcW w:w="2465" w:type="dxa"/>
            <w:tcBorders/>
            <w:vAlign w:val="center"/>
          </w:tcPr>
          <w:p>
            <w:pPr>
              <w:pStyle w:val="TableContents"/>
              <w:bidi w:val="0"/>
              <w:spacing w:before="0" w:after="283"/>
              <w:jc w:val="left"/>
              <w:rPr/>
            </w:pPr>
            <w:r>
              <w:rPr/>
              <w:t>Name of Investing Entity:</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bl>
    <w:tbl>
      <w:tblPr>
        <w:tblW w:w="4505" w:type="dxa"/>
        <w:jc w:val="left"/>
        <w:tblInd w:w="0" w:type="dxa"/>
        <w:tblLayout w:type="fixed"/>
        <w:tblCellMar>
          <w:top w:w="0" w:type="dxa"/>
          <w:left w:w="0" w:type="dxa"/>
          <w:bottom w:w="0" w:type="dxa"/>
          <w:right w:w="0" w:type="dxa"/>
        </w:tblCellMar>
      </w:tblPr>
      <w:tblGrid>
        <w:gridCol w:w="4445"/>
        <w:gridCol w:w="60"/>
      </w:tblGrid>
      <w:tr>
        <w:trPr/>
        <w:tc>
          <w:tcPr>
            <w:tcW w:w="4445" w:type="dxa"/>
            <w:tcBorders/>
            <w:vAlign w:val="center"/>
          </w:tcPr>
          <w:p>
            <w:pPr>
              <w:pStyle w:val="TableContents"/>
              <w:bidi w:val="0"/>
              <w:spacing w:before="0" w:after="283"/>
              <w:jc w:val="left"/>
              <w:rPr/>
            </w:pPr>
            <w:r>
              <w:rPr>
                <w:rFonts w:ascii="Times New Roman;Times;serif" w:hAnsi="Times New Roman;Times;serif"/>
                <w:i/>
                <w:sz w:val="20"/>
              </w:rPr>
              <w:t>Signature of Authorized Signatory of Investing Entity</w:t>
            </w:r>
            <w:r>
              <w:rPr/>
              <w:t>:</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bl>
    <w:tbl>
      <w:tblPr>
        <w:tblW w:w="3065" w:type="dxa"/>
        <w:jc w:val="left"/>
        <w:tblInd w:w="0" w:type="dxa"/>
        <w:tblLayout w:type="fixed"/>
        <w:tblCellMar>
          <w:top w:w="0" w:type="dxa"/>
          <w:left w:w="0" w:type="dxa"/>
          <w:bottom w:w="0" w:type="dxa"/>
          <w:right w:w="0" w:type="dxa"/>
        </w:tblCellMar>
      </w:tblPr>
      <w:tblGrid>
        <w:gridCol w:w="3005"/>
        <w:gridCol w:w="60"/>
      </w:tblGrid>
      <w:tr>
        <w:trPr/>
        <w:tc>
          <w:tcPr>
            <w:tcW w:w="3005" w:type="dxa"/>
            <w:tcBorders/>
            <w:vAlign w:val="center"/>
          </w:tcPr>
          <w:p>
            <w:pPr>
              <w:pStyle w:val="TableContents"/>
              <w:bidi w:val="0"/>
              <w:spacing w:before="0" w:after="283"/>
              <w:jc w:val="left"/>
              <w:rPr/>
            </w:pPr>
            <w:r>
              <w:rPr/>
              <w:t>Name of Authorized Signatory:</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bl>
    <w:tbl>
      <w:tblPr>
        <w:tblW w:w="2930" w:type="dxa"/>
        <w:jc w:val="left"/>
        <w:tblInd w:w="0" w:type="dxa"/>
        <w:tblLayout w:type="fixed"/>
        <w:tblCellMar>
          <w:top w:w="0" w:type="dxa"/>
          <w:left w:w="0" w:type="dxa"/>
          <w:bottom w:w="0" w:type="dxa"/>
          <w:right w:w="0" w:type="dxa"/>
        </w:tblCellMar>
      </w:tblPr>
      <w:tblGrid>
        <w:gridCol w:w="2870"/>
        <w:gridCol w:w="60"/>
      </w:tblGrid>
      <w:tr>
        <w:trPr/>
        <w:tc>
          <w:tcPr>
            <w:tcW w:w="2870" w:type="dxa"/>
            <w:tcBorders/>
            <w:vAlign w:val="center"/>
          </w:tcPr>
          <w:p>
            <w:pPr>
              <w:pStyle w:val="TableContents"/>
              <w:bidi w:val="0"/>
              <w:spacing w:before="0" w:after="283"/>
              <w:jc w:val="left"/>
              <w:rPr/>
            </w:pPr>
            <w:r>
              <w:rPr/>
              <w:t>Title of Authorized Signatory:</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bl>
    <w:tbl>
      <w:tblPr>
        <w:tblW w:w="590" w:type="dxa"/>
        <w:jc w:val="left"/>
        <w:tblInd w:w="0" w:type="dxa"/>
        <w:tblLayout w:type="fixed"/>
        <w:tblCellMar>
          <w:top w:w="0" w:type="dxa"/>
          <w:left w:w="0" w:type="dxa"/>
          <w:bottom w:w="0" w:type="dxa"/>
          <w:right w:w="0" w:type="dxa"/>
        </w:tblCellMar>
      </w:tblPr>
      <w:tblGrid>
        <w:gridCol w:w="530"/>
        <w:gridCol w:w="60"/>
      </w:tblGrid>
      <w:tr>
        <w:trPr/>
        <w:tc>
          <w:tcPr>
            <w:tcW w:w="530" w:type="dxa"/>
            <w:tcBorders/>
            <w:vAlign w:val="center"/>
          </w:tcPr>
          <w:p>
            <w:pPr>
              <w:pStyle w:val="TableContents"/>
              <w:bidi w:val="0"/>
              <w:spacing w:before="0" w:after="283"/>
              <w:jc w:val="left"/>
              <w:rPr/>
            </w:pPr>
            <w:r>
              <w:rPr/>
              <w:t>Date:</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bl>
    <w:p>
      <w:pPr>
        <w:pStyle w:val="TextBody"/>
        <w:bidi w:val="0"/>
        <w:spacing w:lineRule="auto" w:line="300" w:before="0" w:after="0"/>
        <w:jc w:val="left"/>
        <w:rPr/>
      </w:pPr>
      <w:r>
        <w:rPr/>
      </w:r>
    </w:p>
    <w:p>
      <w:pPr>
        <w:pStyle w:val="HorizontalLine"/>
        <w:pBdr>
          <w:bottom w:val="single" w:sz="12" w:space="0" w:color="808080"/>
        </w:pBdr>
        <w:bidi w:val="0"/>
        <w:spacing w:before="200" w:after="200"/>
        <w:jc w:val="left"/>
        <w:rPr/>
      </w:pPr>
      <w:r>
        <w:rPr/>
      </w:r>
    </w:p>
    <w:p>
      <w:pPr>
        <w:pStyle w:val="TextBody"/>
        <w:bidi w:val="0"/>
        <w:spacing w:lineRule="auto" w:line="300" w:before="0" w:after="0"/>
        <w:jc w:val="left"/>
        <w:rPr/>
      </w:pPr>
      <w:r>
        <w:rPr/>
      </w:r>
    </w:p>
    <w:p>
      <w:pPr>
        <w:pStyle w:val="TextBody"/>
        <w:bidi w:val="0"/>
        <w:spacing w:lineRule="auto" w:line="300" w:before="0" w:after="0"/>
        <w:jc w:val="center"/>
        <w:rPr>
          <w:rFonts w:ascii="Times New Roman;Times;serif" w:hAnsi="Times New Roman;Times;serif"/>
          <w:color w:val="000000"/>
          <w:sz w:val="20"/>
        </w:rPr>
      </w:pPr>
      <w:r>
        <w:rPr>
          <w:rFonts w:ascii="Times New Roman;Times;serif" w:hAnsi="Times New Roman;Times;serif"/>
          <w:color w:val="000000"/>
          <w:sz w:val="20"/>
        </w:rPr>
        <w:t>ASSIGNMENT FORM</w:t>
      </w:r>
    </w:p>
    <w:p>
      <w:pPr>
        <w:pStyle w:val="TextBody"/>
        <w:bidi w:val="0"/>
        <w:spacing w:lineRule="auto" w:line="300" w:before="0" w:after="0"/>
        <w:jc w:val="center"/>
        <w:rPr>
          <w:rFonts w:ascii="Times New Roman;Times;serif" w:hAnsi="Times New Roman;Times;serif"/>
          <w:sz w:val="20"/>
        </w:rPr>
      </w:pPr>
      <w:r>
        <w:rPr>
          <w:rFonts w:ascii="Times New Roman;Times;serif" w:hAnsi="Times New Roman;Times;serif"/>
          <w:sz w:val="20"/>
        </w:rPr>
      </w:r>
    </w:p>
    <w:p>
      <w:pPr>
        <w:pStyle w:val="TextBody"/>
        <w:bidi w:val="0"/>
        <w:spacing w:lineRule="auto" w:line="300" w:before="0" w:after="0"/>
        <w:ind w:left="0" w:right="0" w:firstLine="210"/>
        <w:jc w:val="both"/>
        <w:rPr>
          <w:color w:val="000000"/>
        </w:rPr>
      </w:pPr>
      <w:r>
        <w:rPr>
          <w:color w:val="000000"/>
        </w:rPr>
        <w:t> </w:t>
      </w:r>
      <w:r>
        <w:rPr>
          <w:rFonts w:ascii="Times New Roman;Times;serif" w:hAnsi="Times New Roman;Times;serif"/>
          <w:i/>
          <w:color w:val="000000"/>
          <w:sz w:val="20"/>
        </w:rPr>
        <w:t>(To assign the foregoing Warrant, execute this form and supply required information.  Do not use this form to exercise the Warrant to purchase shares.)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210"/>
        <w:jc w:val="both"/>
        <w:rPr>
          <w:rFonts w:ascii="Times New Roman;Times;serif" w:hAnsi="Times New Roman;Times;serif"/>
          <w:color w:val="000000"/>
          <w:sz w:val="20"/>
        </w:rPr>
      </w:pPr>
      <w:r>
        <w:rPr>
          <w:rFonts w:ascii="Times New Roman;Times;serif" w:hAnsi="Times New Roman;Times;serif"/>
          <w:color w:val="000000"/>
          <w:sz w:val="20"/>
        </w:rPr>
        <w:t>FOR VALUE RECEIVED, the foregoing Warrant and all rights evidenced thereby are hereby assigned to</w:t>
      </w:r>
    </w:p>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120" w:name="6ee731a02c764cd0adb1ee86d6cc10d7"/>
      <w:bookmarkStart w:id="121" w:name="6ee731a02c764cd0adb1ee86d6cc10d7"/>
      <w:bookmarkEnd w:id="121"/>
    </w:p>
    <w:tbl>
      <w:tblPr>
        <w:tblW w:w="5485" w:type="dxa"/>
        <w:jc w:val="left"/>
        <w:tblInd w:w="0" w:type="dxa"/>
        <w:tblLayout w:type="fixed"/>
        <w:tblCellMar>
          <w:top w:w="0" w:type="dxa"/>
          <w:left w:w="0" w:type="dxa"/>
          <w:bottom w:w="0" w:type="dxa"/>
          <w:right w:w="0" w:type="dxa"/>
        </w:tblCellMar>
      </w:tblPr>
      <w:tblGrid>
        <w:gridCol w:w="4190"/>
        <w:gridCol w:w="1295"/>
      </w:tblGrid>
      <w:tr>
        <w:trPr/>
        <w:tc>
          <w:tcPr>
            <w:tcW w:w="4190" w:type="dxa"/>
            <w:tcBorders/>
            <w:vAlign w:val="center"/>
          </w:tcPr>
          <w:p>
            <w:pPr>
              <w:pStyle w:val="TableContents"/>
              <w:bidi w:val="0"/>
              <w:spacing w:before="0" w:after="283"/>
              <w:jc w:val="left"/>
              <w:rPr/>
            </w:pPr>
            <w:r>
              <w:rPr/>
              <w:t>Name:</w:t>
            </w:r>
          </w:p>
        </w:tc>
        <w:tc>
          <w:tcPr>
            <w:tcW w:w="1295" w:type="dxa"/>
            <w:tcBorders>
              <w:bottom w:val="single" w:sz="2" w:space="0" w:color="000000"/>
            </w:tcBorders>
            <w:tcMar>
              <w:bottom w:w="28" w:type="dxa"/>
            </w:tcMar>
            <w:vAlign w:val="center"/>
          </w:tcPr>
          <w:p>
            <w:pPr>
              <w:pStyle w:val="TableContents"/>
              <w:bidi w:val="0"/>
              <w:spacing w:before="0" w:after="283"/>
              <w:jc w:val="left"/>
              <w:rPr/>
            </w:pPr>
            <w:r>
              <w:rPr/>
            </w:r>
          </w:p>
        </w:tc>
      </w:tr>
      <w:tr>
        <w:trPr/>
        <w:tc>
          <w:tcPr>
            <w:tcW w:w="4190" w:type="dxa"/>
            <w:tcBorders/>
            <w:vAlign w:val="center"/>
          </w:tcPr>
          <w:p>
            <w:pPr>
              <w:pStyle w:val="TableContents"/>
              <w:bidi w:val="0"/>
              <w:spacing w:before="0" w:after="283"/>
              <w:jc w:val="left"/>
              <w:rPr/>
            </w:pPr>
            <w:r>
              <w:rPr/>
            </w:r>
          </w:p>
        </w:tc>
        <w:tc>
          <w:tcPr>
            <w:tcW w:w="1295" w:type="dxa"/>
            <w:tcBorders/>
            <w:vAlign w:val="center"/>
          </w:tcPr>
          <w:p>
            <w:pPr>
              <w:pStyle w:val="TableContents"/>
              <w:bidi w:val="0"/>
              <w:spacing w:before="0" w:after="283"/>
              <w:jc w:val="left"/>
              <w:rPr/>
            </w:pPr>
            <w:r>
              <w:rPr/>
              <w:t>(Please Print)</w:t>
            </w:r>
          </w:p>
        </w:tc>
      </w:tr>
      <w:tr>
        <w:trPr/>
        <w:tc>
          <w:tcPr>
            <w:tcW w:w="4190" w:type="dxa"/>
            <w:tcBorders/>
            <w:vAlign w:val="center"/>
          </w:tcPr>
          <w:p>
            <w:pPr>
              <w:pStyle w:val="TableContents"/>
              <w:bidi w:val="0"/>
              <w:spacing w:before="0" w:after="283"/>
              <w:jc w:val="left"/>
              <w:rPr/>
            </w:pPr>
            <w:r>
              <w:rPr/>
            </w:r>
          </w:p>
        </w:tc>
        <w:tc>
          <w:tcPr>
            <w:tcW w:w="1295" w:type="dxa"/>
            <w:tcBorders/>
            <w:vAlign w:val="center"/>
          </w:tcPr>
          <w:p>
            <w:pPr>
              <w:pStyle w:val="TableContents"/>
              <w:bidi w:val="0"/>
              <w:spacing w:before="0" w:after="283"/>
              <w:jc w:val="left"/>
              <w:rPr/>
            </w:pPr>
            <w:r>
              <w:rPr/>
            </w:r>
          </w:p>
        </w:tc>
      </w:tr>
      <w:tr>
        <w:trPr/>
        <w:tc>
          <w:tcPr>
            <w:tcW w:w="4190" w:type="dxa"/>
            <w:tcBorders/>
            <w:vAlign w:val="center"/>
          </w:tcPr>
          <w:p>
            <w:pPr>
              <w:pStyle w:val="TableContents"/>
              <w:bidi w:val="0"/>
              <w:spacing w:before="0" w:after="283"/>
              <w:jc w:val="left"/>
              <w:rPr/>
            </w:pPr>
            <w:r>
              <w:rPr/>
              <w:t>Address:</w:t>
            </w:r>
          </w:p>
        </w:tc>
        <w:tc>
          <w:tcPr>
            <w:tcW w:w="1295" w:type="dxa"/>
            <w:tcBorders>
              <w:bottom w:val="single" w:sz="2" w:space="0" w:color="000000"/>
            </w:tcBorders>
            <w:tcMar>
              <w:bottom w:w="28" w:type="dxa"/>
            </w:tcMar>
            <w:vAlign w:val="center"/>
          </w:tcPr>
          <w:p>
            <w:pPr>
              <w:pStyle w:val="TableContents"/>
              <w:bidi w:val="0"/>
              <w:spacing w:before="0" w:after="283"/>
              <w:jc w:val="left"/>
              <w:rPr/>
            </w:pPr>
            <w:r>
              <w:rPr/>
            </w:r>
          </w:p>
        </w:tc>
      </w:tr>
      <w:tr>
        <w:trPr/>
        <w:tc>
          <w:tcPr>
            <w:tcW w:w="4190" w:type="dxa"/>
            <w:tcBorders/>
            <w:vAlign w:val="center"/>
          </w:tcPr>
          <w:p>
            <w:pPr>
              <w:pStyle w:val="TableContents"/>
              <w:bidi w:val="0"/>
              <w:spacing w:before="0" w:after="283"/>
              <w:jc w:val="left"/>
              <w:rPr/>
            </w:pPr>
            <w:r>
              <w:rPr/>
            </w:r>
          </w:p>
        </w:tc>
        <w:tc>
          <w:tcPr>
            <w:tcW w:w="1295" w:type="dxa"/>
            <w:tcBorders/>
            <w:vAlign w:val="center"/>
          </w:tcPr>
          <w:p>
            <w:pPr>
              <w:pStyle w:val="TableContents"/>
              <w:bidi w:val="0"/>
              <w:spacing w:before="0" w:after="283"/>
              <w:jc w:val="left"/>
              <w:rPr/>
            </w:pPr>
            <w:r>
              <w:rPr/>
              <w:t>(Please Print)</w:t>
            </w:r>
          </w:p>
        </w:tc>
      </w:tr>
      <w:tr>
        <w:trPr/>
        <w:tc>
          <w:tcPr>
            <w:tcW w:w="4190" w:type="dxa"/>
            <w:tcBorders/>
            <w:vAlign w:val="center"/>
          </w:tcPr>
          <w:p>
            <w:pPr>
              <w:pStyle w:val="TableContents"/>
              <w:bidi w:val="0"/>
              <w:spacing w:before="0" w:after="283"/>
              <w:jc w:val="left"/>
              <w:rPr/>
            </w:pPr>
            <w:r>
              <w:rPr/>
            </w:r>
          </w:p>
        </w:tc>
        <w:tc>
          <w:tcPr>
            <w:tcW w:w="1295" w:type="dxa"/>
            <w:tcBorders/>
            <w:vAlign w:val="center"/>
          </w:tcPr>
          <w:p>
            <w:pPr>
              <w:pStyle w:val="TableContents"/>
              <w:bidi w:val="0"/>
              <w:spacing w:before="0" w:after="283"/>
              <w:jc w:val="left"/>
              <w:rPr/>
            </w:pPr>
            <w:r>
              <w:rPr/>
            </w:r>
          </w:p>
        </w:tc>
      </w:tr>
      <w:tr>
        <w:trPr/>
        <w:tc>
          <w:tcPr>
            <w:tcW w:w="4190" w:type="dxa"/>
            <w:tcBorders/>
            <w:vAlign w:val="center"/>
          </w:tcPr>
          <w:p>
            <w:pPr>
              <w:pStyle w:val="TableContents"/>
              <w:bidi w:val="0"/>
              <w:spacing w:before="0" w:after="283"/>
              <w:jc w:val="left"/>
              <w:rPr/>
            </w:pPr>
            <w:r>
              <w:rPr/>
              <w:t>Phone Number:</w:t>
            </w:r>
          </w:p>
        </w:tc>
        <w:tc>
          <w:tcPr>
            <w:tcW w:w="1295" w:type="dxa"/>
            <w:tcBorders>
              <w:bottom w:val="single" w:sz="2" w:space="0" w:color="000000"/>
            </w:tcBorders>
            <w:tcMar>
              <w:bottom w:w="28" w:type="dxa"/>
            </w:tcMar>
            <w:vAlign w:val="center"/>
          </w:tcPr>
          <w:p>
            <w:pPr>
              <w:pStyle w:val="TableContents"/>
              <w:bidi w:val="0"/>
              <w:spacing w:before="0" w:after="283"/>
              <w:jc w:val="left"/>
              <w:rPr/>
            </w:pPr>
            <w:r>
              <w:rPr/>
            </w:r>
          </w:p>
        </w:tc>
      </w:tr>
      <w:tr>
        <w:trPr/>
        <w:tc>
          <w:tcPr>
            <w:tcW w:w="4190" w:type="dxa"/>
            <w:tcBorders/>
            <w:vAlign w:val="center"/>
          </w:tcPr>
          <w:p>
            <w:pPr>
              <w:pStyle w:val="TableContents"/>
              <w:bidi w:val="0"/>
              <w:spacing w:before="0" w:after="283"/>
              <w:jc w:val="left"/>
              <w:rPr/>
            </w:pPr>
            <w:r>
              <w:rPr/>
            </w:r>
          </w:p>
        </w:tc>
        <w:tc>
          <w:tcPr>
            <w:tcW w:w="1295" w:type="dxa"/>
            <w:tcBorders/>
            <w:vAlign w:val="center"/>
          </w:tcPr>
          <w:p>
            <w:pPr>
              <w:pStyle w:val="TableContents"/>
              <w:bidi w:val="0"/>
              <w:spacing w:before="0" w:after="283"/>
              <w:jc w:val="left"/>
              <w:rPr/>
            </w:pPr>
            <w:r>
              <w:rPr/>
            </w:r>
          </w:p>
        </w:tc>
      </w:tr>
      <w:tr>
        <w:trPr/>
        <w:tc>
          <w:tcPr>
            <w:tcW w:w="4190" w:type="dxa"/>
            <w:tcBorders/>
            <w:vAlign w:val="center"/>
          </w:tcPr>
          <w:p>
            <w:pPr>
              <w:pStyle w:val="TableContents"/>
              <w:bidi w:val="0"/>
              <w:spacing w:before="0" w:after="283"/>
              <w:jc w:val="left"/>
              <w:rPr/>
            </w:pPr>
            <w:r>
              <w:rPr/>
              <w:t>Email Address:</w:t>
            </w:r>
          </w:p>
        </w:tc>
        <w:tc>
          <w:tcPr>
            <w:tcW w:w="1295" w:type="dxa"/>
            <w:tcBorders>
              <w:bottom w:val="single" w:sz="2" w:space="0" w:color="000000"/>
            </w:tcBorders>
            <w:tcMar>
              <w:bottom w:w="28" w:type="dxa"/>
            </w:tcMar>
            <w:vAlign w:val="center"/>
          </w:tcPr>
          <w:p>
            <w:pPr>
              <w:pStyle w:val="TableContents"/>
              <w:bidi w:val="0"/>
              <w:spacing w:before="0" w:after="283"/>
              <w:jc w:val="left"/>
              <w:rPr/>
            </w:pPr>
            <w:r>
              <w:rPr/>
            </w:r>
          </w:p>
        </w:tc>
      </w:tr>
      <w:tr>
        <w:trPr/>
        <w:tc>
          <w:tcPr>
            <w:tcW w:w="4190" w:type="dxa"/>
            <w:tcBorders/>
            <w:vAlign w:val="center"/>
          </w:tcPr>
          <w:p>
            <w:pPr>
              <w:pStyle w:val="TableContents"/>
              <w:bidi w:val="0"/>
              <w:spacing w:before="0" w:after="283"/>
              <w:jc w:val="left"/>
              <w:rPr/>
            </w:pPr>
            <w:r>
              <w:rPr/>
            </w:r>
          </w:p>
        </w:tc>
        <w:tc>
          <w:tcPr>
            <w:tcW w:w="1295" w:type="dxa"/>
            <w:tcBorders/>
            <w:vAlign w:val="center"/>
          </w:tcPr>
          <w:p>
            <w:pPr>
              <w:pStyle w:val="TableContents"/>
              <w:bidi w:val="0"/>
              <w:spacing w:before="0" w:after="283"/>
              <w:jc w:val="left"/>
              <w:rPr/>
            </w:pPr>
            <w:r>
              <w:rPr/>
            </w:r>
          </w:p>
        </w:tc>
      </w:tr>
      <w:tr>
        <w:trPr/>
        <w:tc>
          <w:tcPr>
            <w:tcW w:w="4190" w:type="dxa"/>
            <w:tcBorders/>
            <w:vAlign w:val="center"/>
          </w:tcPr>
          <w:p>
            <w:pPr>
              <w:pStyle w:val="TableContents"/>
              <w:bidi w:val="0"/>
              <w:spacing w:before="0" w:after="283"/>
              <w:jc w:val="left"/>
              <w:rPr/>
            </w:pPr>
            <w:r>
              <w:rPr/>
              <w:t>Dated: _______________ __, ______</w:t>
            </w:r>
          </w:p>
        </w:tc>
        <w:tc>
          <w:tcPr>
            <w:tcW w:w="1295" w:type="dxa"/>
            <w:tcBorders/>
            <w:vAlign w:val="center"/>
          </w:tcPr>
          <w:p>
            <w:pPr>
              <w:pStyle w:val="TableContents"/>
              <w:bidi w:val="0"/>
              <w:spacing w:before="0" w:after="283"/>
              <w:jc w:val="left"/>
              <w:rPr/>
            </w:pPr>
            <w:r>
              <w:rPr/>
            </w:r>
          </w:p>
        </w:tc>
      </w:tr>
      <w:tr>
        <w:trPr/>
        <w:tc>
          <w:tcPr>
            <w:tcW w:w="4190" w:type="dxa"/>
            <w:tcBorders/>
            <w:vAlign w:val="center"/>
          </w:tcPr>
          <w:p>
            <w:pPr>
              <w:pStyle w:val="TableContents"/>
              <w:bidi w:val="0"/>
              <w:spacing w:before="0" w:after="283"/>
              <w:jc w:val="left"/>
              <w:rPr/>
            </w:pPr>
            <w:r>
              <w:rPr/>
            </w:r>
          </w:p>
        </w:tc>
        <w:tc>
          <w:tcPr>
            <w:tcW w:w="1295" w:type="dxa"/>
            <w:tcBorders/>
            <w:vAlign w:val="center"/>
          </w:tcPr>
          <w:p>
            <w:pPr>
              <w:pStyle w:val="TableContents"/>
              <w:bidi w:val="0"/>
              <w:spacing w:before="0" w:after="283"/>
              <w:jc w:val="left"/>
              <w:rPr/>
            </w:pPr>
            <w:r>
              <w:rPr/>
            </w:r>
          </w:p>
        </w:tc>
      </w:tr>
      <w:tr>
        <w:trPr/>
        <w:tc>
          <w:tcPr>
            <w:tcW w:w="4190" w:type="dxa"/>
            <w:tcBorders/>
            <w:vAlign w:val="center"/>
          </w:tcPr>
          <w:p>
            <w:pPr>
              <w:pStyle w:val="TableContents"/>
              <w:bidi w:val="0"/>
              <w:spacing w:before="0" w:after="283"/>
              <w:jc w:val="left"/>
              <w:rPr/>
            </w:pPr>
            <w:r>
              <w:rPr>
                <w:rFonts w:ascii="Times New Roman;Times;serif" w:hAnsi="Times New Roman;Times;serif"/>
                <w:sz w:val="20"/>
              </w:rPr>
              <w:t>Holder’s Signature:</w:t>
            </w:r>
            <w:r>
              <w:rPr/>
              <w:t> </w:t>
            </w:r>
            <w:r>
              <w:rPr>
                <w:u w:val="single"/>
              </w:rPr>
              <w:t xml:space="preserve">                                          </w:t>
            </w:r>
          </w:p>
        </w:tc>
        <w:tc>
          <w:tcPr>
            <w:tcW w:w="1295" w:type="dxa"/>
            <w:tcBorders/>
            <w:vAlign w:val="center"/>
          </w:tcPr>
          <w:p>
            <w:pPr>
              <w:pStyle w:val="TableContents"/>
              <w:bidi w:val="0"/>
              <w:spacing w:before="0" w:after="283"/>
              <w:jc w:val="left"/>
              <w:rPr/>
            </w:pPr>
            <w:r>
              <w:rPr/>
            </w:r>
          </w:p>
        </w:tc>
      </w:tr>
      <w:tr>
        <w:trPr/>
        <w:tc>
          <w:tcPr>
            <w:tcW w:w="4190" w:type="dxa"/>
            <w:tcBorders/>
            <w:vAlign w:val="center"/>
          </w:tcPr>
          <w:p>
            <w:pPr>
              <w:pStyle w:val="TableContents"/>
              <w:bidi w:val="0"/>
              <w:spacing w:before="0" w:after="283"/>
              <w:jc w:val="left"/>
              <w:rPr/>
            </w:pPr>
            <w:r>
              <w:rPr/>
            </w:r>
          </w:p>
        </w:tc>
        <w:tc>
          <w:tcPr>
            <w:tcW w:w="1295" w:type="dxa"/>
            <w:tcBorders/>
            <w:vAlign w:val="center"/>
          </w:tcPr>
          <w:p>
            <w:pPr>
              <w:pStyle w:val="TableContents"/>
              <w:bidi w:val="0"/>
              <w:spacing w:before="0" w:after="283"/>
              <w:jc w:val="left"/>
              <w:rPr/>
            </w:pPr>
            <w:r>
              <w:rPr/>
            </w:r>
          </w:p>
        </w:tc>
      </w:tr>
      <w:tr>
        <w:trPr/>
        <w:tc>
          <w:tcPr>
            <w:tcW w:w="4190" w:type="dxa"/>
            <w:tcBorders/>
            <w:vAlign w:val="center"/>
          </w:tcPr>
          <w:p>
            <w:pPr>
              <w:pStyle w:val="TableContents"/>
              <w:bidi w:val="0"/>
              <w:spacing w:before="0" w:after="283"/>
              <w:jc w:val="left"/>
              <w:rPr/>
            </w:pPr>
            <w:r>
              <w:rPr>
                <w:rFonts w:ascii="Times New Roman;Times;serif" w:hAnsi="Times New Roman;Times;serif"/>
                <w:sz w:val="20"/>
              </w:rPr>
              <w:t>Holder’s Address:</w:t>
            </w:r>
            <w:r>
              <w:rPr/>
              <w:t> </w:t>
            </w:r>
            <w:r>
              <w:rPr>
                <w:u w:val="single"/>
              </w:rPr>
              <w:t xml:space="preserve">                                            </w:t>
            </w:r>
          </w:p>
        </w:tc>
        <w:tc>
          <w:tcPr>
            <w:tcW w:w="1295" w:type="dxa"/>
            <w:tcBorders/>
            <w:vAlign w:val="center"/>
          </w:tcPr>
          <w:p>
            <w:pPr>
              <w:pStyle w:val="TableContents"/>
              <w:bidi w:val="0"/>
              <w:spacing w:before="0" w:after="283"/>
              <w:jc w:val="left"/>
              <w:rPr/>
            </w:pPr>
            <w:r>
              <w:rPr/>
            </w:r>
          </w:p>
        </w:tc>
      </w:tr>
    </w:tbl>
    <w:p>
      <w:pPr>
        <w:pStyle w:val="TextBody"/>
        <w:bidi w:val="0"/>
        <w:spacing w:lineRule="auto" w:line="300" w:before="0" w:after="0"/>
        <w:jc w:val="left"/>
        <w:rPr/>
      </w:pPr>
      <w:r>
        <w:rPr/>
      </w:r>
    </w:p>
    <w:p>
      <w:pPr>
        <w:pStyle w:val="HorizontalLine"/>
        <w:bidi w:val="0"/>
        <w:jc w:val="left"/>
        <w:rPr/>
      </w:pPr>
      <w:r>
        <w:rPr/>
      </w:r>
    </w:p>
    <w:p>
      <w:pPr>
        <w:pStyle w:val="HorizontalLine"/>
        <w:bidi w:val="0"/>
        <w:jc w:val="left"/>
        <w:rPr/>
      </w:pPr>
      <w:r>
        <w:rPr/>
      </w:r>
      <w:bookmarkStart w:id="122" w:name="exhibit_10-1.htm"/>
      <w:bookmarkStart w:id="123" w:name="ksexhibit_101"/>
      <w:bookmarkStart w:id="124" w:name="exhibit_10-1.htm"/>
      <w:bookmarkStart w:id="125" w:name="ksexhibit_101"/>
      <w:bookmarkEnd w:id="124"/>
      <w:bookmarkEnd w:id="125"/>
      <w:r>
        <w:br w:type="page"/>
      </w:r>
    </w:p>
    <w:p>
      <w:pPr>
        <w:pStyle w:val="TextBody"/>
        <w:bidi w:val="0"/>
        <w:spacing w:before="0" w:after="0"/>
        <w:jc w:val="right"/>
        <w:rPr>
          <w:rFonts w:ascii="Times New Roman;Times;serif" w:hAnsi="Times New Roman;Times;serif"/>
          <w:b/>
          <w:color w:val="000000"/>
          <w:sz w:val="20"/>
          <w:u w:val="single"/>
        </w:rPr>
      </w:pPr>
      <w:r>
        <w:rPr>
          <w:rFonts w:ascii="Times New Roman;Times;serif" w:hAnsi="Times New Roman;Times;serif"/>
          <w:b/>
          <w:color w:val="000000"/>
          <w:sz w:val="20"/>
          <w:u w:val="single"/>
        </w:rPr>
        <w:t>Exhibit 10.1</w:t>
      </w:r>
    </w:p>
    <w:p>
      <w:pPr>
        <w:pStyle w:val="TextBody"/>
        <w:bidi w:val="0"/>
        <w:spacing w:before="0" w:after="0"/>
        <w:jc w:val="left"/>
        <w:rPr/>
      </w:pPr>
      <w:r>
        <w:rPr/>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SECURITIES PURCHASE AGREEMENT</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This Securities Purchase Agreement (this “</w:t>
      </w:r>
      <w:r>
        <w:rPr>
          <w:rFonts w:ascii="Times New Roman;Times;serif" w:hAnsi="Times New Roman;Times;serif"/>
          <w:color w:val="000000"/>
          <w:sz w:val="20"/>
          <w:u w:val="single"/>
        </w:rPr>
        <w:t>Agreement</w:t>
      </w:r>
      <w:r>
        <w:rPr>
          <w:rFonts w:ascii="Times New Roman;Times;serif" w:hAnsi="Times New Roman;Times;serif"/>
          <w:color w:val="000000"/>
          <w:sz w:val="20"/>
        </w:rPr>
        <w:t>”) is dated as of June 30, 2026, among Lifeward Ltd., a company organized under the laws of the State of Israel (the “</w:t>
      </w:r>
      <w:r>
        <w:rPr>
          <w:rFonts w:ascii="Times New Roman;Times;serif" w:hAnsi="Times New Roman;Times;serif"/>
          <w:color w:val="000000"/>
          <w:sz w:val="20"/>
          <w:u w:val="single"/>
        </w:rPr>
        <w:t>Company</w:t>
      </w:r>
      <w:r>
        <w:rPr>
          <w:rFonts w:ascii="Times New Roman;Times;serif" w:hAnsi="Times New Roman;Times;serif"/>
          <w:color w:val="000000"/>
          <w:sz w:val="20"/>
        </w:rPr>
        <w:t>”), each purchaser identified on the signature pages hereto (each, including its successors and assigns, a “</w:t>
      </w:r>
      <w:r>
        <w:rPr>
          <w:rFonts w:ascii="Times New Roman;Times;serif" w:hAnsi="Times New Roman;Times;serif"/>
          <w:color w:val="000000"/>
          <w:sz w:val="20"/>
          <w:u w:val="single"/>
        </w:rPr>
        <w:t>Purchaser</w:t>
      </w:r>
      <w:r>
        <w:rPr>
          <w:rFonts w:ascii="Times New Roman;Times;serif" w:hAnsi="Times New Roman;Times;serif"/>
          <w:color w:val="000000"/>
          <w:sz w:val="20"/>
        </w:rPr>
        <w:t>” and collectively, the “</w:t>
      </w:r>
      <w:r>
        <w:rPr>
          <w:rFonts w:ascii="Times New Roman;Times;serif" w:hAnsi="Times New Roman;Times;serif"/>
          <w:color w:val="000000"/>
          <w:sz w:val="20"/>
          <w:u w:val="single"/>
        </w:rPr>
        <w:t>Purchasers</w:t>
      </w:r>
      <w:r>
        <w:rPr>
          <w:rFonts w:ascii="Times New Roman;Times;serif" w:hAnsi="Times New Roman;Times;serif"/>
          <w:color w:val="000000"/>
          <w:sz w:val="20"/>
        </w:rPr>
        <w:t>”), and Oramed Pharmaceuticals Inc., as collateral agent for the Purchasers (“</w:t>
      </w:r>
      <w:r>
        <w:rPr>
          <w:rFonts w:ascii="Times New Roman;Times;serif" w:hAnsi="Times New Roman;Times;serif"/>
          <w:color w:val="000000"/>
          <w:sz w:val="20"/>
          <w:u w:val="single"/>
        </w:rPr>
        <w:t>Agent</w:t>
      </w:r>
      <w:r>
        <w:rPr>
          <w:rFonts w:ascii="Times New Roman;Times;serif" w:hAnsi="Times New Roman;Times;serif"/>
          <w:color w:val="000000"/>
          <w:sz w:val="20"/>
        </w:rPr>
        <w:t>”).</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b/>
          <w:color w:val="000000"/>
          <w:sz w:val="20"/>
        </w:rPr>
        <w:t>WHEREAS</w:t>
      </w:r>
      <w:r>
        <w:rPr>
          <w:rFonts w:ascii="Times New Roman;Times;serif" w:hAnsi="Times New Roman;Times;serif"/>
          <w:color w:val="000000"/>
          <w:sz w:val="20"/>
        </w:rPr>
        <w:t>, subject to the terms and conditions set forth in this Agreement and pursuant to an exemption from the registration requirements of Section 5 of the Securities Act contained in Section 4(a)(2) thereof and/or Regulation D promulgated thereunder as to the Notes, Conversion Shares, Warrants and Warrant Shares (each as defined below), the Company desires to issue and sell to each Purchaser, and each Purchaser, severally and not jointly, desires to purchase from the Company, securities of the Company as more fully described in this Agreement.</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b/>
          <w:color w:val="000000"/>
          <w:sz w:val="20"/>
        </w:rPr>
        <w:t>NOW</w:t>
      </w:r>
      <w:r>
        <w:rPr>
          <w:rFonts w:ascii="Times New Roman;Times;serif" w:hAnsi="Times New Roman;Times;serif"/>
          <w:color w:val="000000"/>
          <w:sz w:val="20"/>
        </w:rPr>
        <w:t xml:space="preserve">, </w:t>
      </w:r>
      <w:r>
        <w:rPr>
          <w:rFonts w:ascii="Times New Roman;Times;serif" w:hAnsi="Times New Roman;Times;serif"/>
          <w:b/>
          <w:color w:val="000000"/>
          <w:sz w:val="20"/>
        </w:rPr>
        <w:t>THEREFORE</w:t>
      </w:r>
      <w:r>
        <w:rPr>
          <w:rFonts w:ascii="Times New Roman;Times;serif" w:hAnsi="Times New Roman;Times;serif"/>
          <w:color w:val="000000"/>
          <w:sz w:val="20"/>
        </w:rPr>
        <w:t xml:space="preserve">, </w:t>
      </w:r>
      <w:r>
        <w:rPr>
          <w:rFonts w:ascii="Times New Roman;Times;serif" w:hAnsi="Times New Roman;Times;serif"/>
          <w:b/>
          <w:color w:val="000000"/>
          <w:sz w:val="20"/>
        </w:rPr>
        <w:t>IN CONSIDERATION</w:t>
      </w:r>
      <w:r>
        <w:rPr>
          <w:rFonts w:ascii="Times New Roman;Times;serif" w:hAnsi="Times New Roman;Times;serif"/>
          <w:color w:val="000000"/>
          <w:sz w:val="20"/>
        </w:rPr>
        <w:t xml:space="preserve"> of the mutual covenants contained in this Agreement and the other Transaction Documents, the Company and each Purchaser agree as follows: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ARTICLE I.</w:t>
        <w:br/>
        <w:t>DEFINITIONS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1.1          </w:t>
      </w:r>
      <w:r>
        <w:rPr>
          <w:rFonts w:ascii="Times New Roman;Times;serif" w:hAnsi="Times New Roman;Times;serif"/>
          <w:color w:val="000000"/>
          <w:sz w:val="20"/>
          <w:u w:val="single"/>
        </w:rPr>
        <w:t>Definitions</w:t>
      </w:r>
      <w:r>
        <w:rPr>
          <w:rFonts w:ascii="Times New Roman;Times;serif" w:hAnsi="Times New Roman;Times;serif"/>
          <w:color w:val="000000"/>
          <w:sz w:val="20"/>
        </w:rPr>
        <w:t>. In addition to the terms defined elsewhere in this Agreement: (a) capitalized terms that are not otherwise defined herein have the meanings given to such terms in the Notes, and (b) the following terms have the meanings set forth in this Section 1.1:</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color w:val="000000"/>
        </w:rPr>
      </w:pPr>
      <w:r>
        <w:rPr>
          <w:color w:val="000000"/>
        </w:rPr>
        <w:t>“</w:t>
      </w:r>
      <w:r>
        <w:rPr>
          <w:rFonts w:ascii="Times New Roman;Times;serif" w:hAnsi="Times New Roman;Times;serif"/>
          <w:color w:val="000000"/>
          <w:sz w:val="20"/>
          <w:u w:val="single"/>
        </w:rPr>
        <w:t>Acquiring Person</w:t>
      </w:r>
      <w:r>
        <w:rPr>
          <w:rFonts w:ascii="Times New Roman;Times;serif" w:hAnsi="Times New Roman;Times;serif"/>
          <w:color w:val="000000"/>
          <w:sz w:val="20"/>
        </w:rPr>
        <w:t>” shall have the meaning ascribed to such term in Section 4.7.</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color w:val="000000"/>
        </w:rPr>
      </w:pPr>
      <w:r>
        <w:rPr>
          <w:color w:val="000000"/>
        </w:rPr>
        <w:t>“</w:t>
      </w:r>
      <w:r>
        <w:rPr>
          <w:rFonts w:ascii="Times New Roman;Times;serif" w:hAnsi="Times New Roman;Times;serif"/>
          <w:color w:val="000000"/>
          <w:sz w:val="20"/>
          <w:u w:val="single"/>
        </w:rPr>
        <w:t>Action</w:t>
      </w:r>
      <w:r>
        <w:rPr>
          <w:rFonts w:ascii="Times New Roman;Times;serif" w:hAnsi="Times New Roman;Times;serif"/>
          <w:color w:val="000000"/>
          <w:sz w:val="20"/>
        </w:rPr>
        <w:t>” shall have the meaning ascribed to such term in Section 3.1(j).</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color w:val="000000"/>
        </w:rPr>
      </w:pPr>
      <w:r>
        <w:rPr>
          <w:color w:val="000000"/>
        </w:rPr>
        <w:t>“</w:t>
      </w:r>
      <w:r>
        <w:rPr>
          <w:rFonts w:ascii="Times New Roman;Times;serif" w:hAnsi="Times New Roman;Times;serif"/>
          <w:color w:val="000000"/>
          <w:sz w:val="20"/>
          <w:u w:val="single"/>
        </w:rPr>
        <w:t>Additional Closing</w:t>
      </w:r>
      <w:r>
        <w:rPr>
          <w:rFonts w:ascii="Times New Roman;Times;serif" w:hAnsi="Times New Roman;Times;serif"/>
          <w:color w:val="000000"/>
          <w:sz w:val="20"/>
        </w:rPr>
        <w:t>” means the closing of the purchase and sale of the Additional Notes and the Additional Warrants pursuant to Section 2.2.</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color w:val="000000"/>
        </w:rPr>
      </w:pPr>
      <w:r>
        <w:rPr>
          <w:color w:val="000000"/>
        </w:rPr>
        <w:t>“</w:t>
      </w:r>
      <w:r>
        <w:rPr>
          <w:rFonts w:ascii="Times New Roman;Times;serif" w:hAnsi="Times New Roman;Times;serif"/>
          <w:color w:val="000000"/>
          <w:sz w:val="20"/>
          <w:u w:val="single"/>
        </w:rPr>
        <w:t>Additional Closing Date</w:t>
      </w:r>
      <w:r>
        <w:rPr>
          <w:rFonts w:ascii="Times New Roman;Times;serif" w:hAnsi="Times New Roman;Times;serif"/>
          <w:color w:val="000000"/>
          <w:sz w:val="20"/>
        </w:rPr>
        <w:t>” shall have the meaning ascribed to such term in Section 2.2.</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color w:val="000000"/>
        </w:rPr>
      </w:pPr>
      <w:r>
        <w:rPr>
          <w:color w:val="000000"/>
        </w:rPr>
        <w:t>“</w:t>
      </w:r>
      <w:r>
        <w:rPr>
          <w:rFonts w:ascii="Times New Roman;Times;serif" w:hAnsi="Times New Roman;Times;serif"/>
          <w:color w:val="000000"/>
          <w:sz w:val="20"/>
          <w:u w:val="single"/>
        </w:rPr>
        <w:t>Additional Closing Satisfaction</w:t>
      </w:r>
      <w:r>
        <w:rPr>
          <w:rFonts w:ascii="Times New Roman;Times;serif" w:hAnsi="Times New Roman;Times;serif"/>
          <w:color w:val="000000"/>
          <w:sz w:val="20"/>
        </w:rPr>
        <w:t>” shall mean the satisfaction of the closing conditions set forth in Section 2.6.</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color w:val="000000"/>
        </w:rPr>
      </w:pPr>
      <w:r>
        <w:rPr>
          <w:color w:val="000000"/>
        </w:rPr>
        <w:t>“</w:t>
      </w:r>
      <w:r>
        <w:rPr>
          <w:rFonts w:ascii="Times New Roman;Times;serif" w:hAnsi="Times New Roman;Times;serif"/>
          <w:color w:val="000000"/>
          <w:sz w:val="20"/>
          <w:u w:val="single"/>
        </w:rPr>
        <w:t>Additional Notes</w:t>
      </w:r>
      <w:r>
        <w:rPr>
          <w:rFonts w:ascii="Times New Roman;Times;serif" w:hAnsi="Times New Roman;Times;serif"/>
          <w:color w:val="000000"/>
          <w:sz w:val="20"/>
        </w:rPr>
        <w:t>” means the Senior Secured Convertible Notes, issued by the Company to the Purchasers hereunder on the Additional Closing Date, in the form of Exhibit B attached hereto.</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color w:val="000000"/>
        </w:rPr>
      </w:pPr>
      <w:r>
        <w:rPr>
          <w:color w:val="000000"/>
        </w:rPr>
        <w:t>“</w:t>
      </w:r>
      <w:r>
        <w:rPr>
          <w:rFonts w:ascii="Times New Roman;Times;serif" w:hAnsi="Times New Roman;Times;serif"/>
          <w:color w:val="000000"/>
          <w:sz w:val="20"/>
          <w:u w:val="single"/>
        </w:rPr>
        <w:t>Additional Subscription Amount</w:t>
      </w:r>
      <w:r>
        <w:rPr>
          <w:rFonts w:ascii="Times New Roman;Times;serif" w:hAnsi="Times New Roman;Times;serif"/>
          <w:color w:val="000000"/>
          <w:sz w:val="20"/>
        </w:rPr>
        <w:t>” means, as to each Purchaser, the aggregate amount to be paid for the Additional Notes and Additional Warrants purchased hereunder as specified below such Purchaser’s name on the signature page of this Agreement and next to the heading “Additional Subscription Amount,” in United States dollars and in immediately available funds.</w:t>
      </w:r>
    </w:p>
    <w:p>
      <w:pPr>
        <w:pStyle w:val="TextBody"/>
        <w:bidi w:val="0"/>
        <w:spacing w:lineRule="auto" w:line="300"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lineRule="auto" w:line="300" w:before="0" w:after="0"/>
        <w:ind w:left="720" w:right="0" w:firstLine="720"/>
        <w:jc w:val="both"/>
        <w:rPr>
          <w:color w:val="000000"/>
        </w:rPr>
      </w:pPr>
      <w:r>
        <w:rPr>
          <w:color w:val="000000"/>
        </w:rPr>
        <w:t>“</w:t>
      </w:r>
      <w:r>
        <w:rPr>
          <w:rFonts w:ascii="Times New Roman;Times;serif" w:hAnsi="Times New Roman;Times;serif"/>
          <w:color w:val="000000"/>
          <w:sz w:val="20"/>
          <w:u w:val="single"/>
        </w:rPr>
        <w:t>Additional Warrants</w:t>
      </w:r>
      <w:r>
        <w:rPr>
          <w:rFonts w:ascii="Times New Roman;Times;serif" w:hAnsi="Times New Roman;Times;serif"/>
          <w:color w:val="000000"/>
          <w:sz w:val="20"/>
        </w:rPr>
        <w:t xml:space="preserve">” means, collectively, the Ordinary Share purchase warrants delivered to the Purchasers at the Additional Closing in accordance with Section 2.2 hereof, which Additional Warrants shall be exercisable immediately upon issuance and have a term of exercise equal to five (5) years from the date of issuance, in the form of </w:t>
      </w:r>
      <w:r>
        <w:rPr>
          <w:rFonts w:ascii="Times New Roman;Times;serif" w:hAnsi="Times New Roman;Times;serif"/>
          <w:color w:val="000000"/>
          <w:sz w:val="20"/>
          <w:u w:val="single"/>
        </w:rPr>
        <w:t>Exhibit D</w:t>
      </w:r>
      <w:r>
        <w:rPr>
          <w:rFonts w:ascii="Times New Roman;Times;serif" w:hAnsi="Times New Roman;Times;serif"/>
          <w:color w:val="000000"/>
          <w:sz w:val="20"/>
        </w:rPr>
        <w:t xml:space="preserve"> attached hereto.</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color w:val="000000"/>
        </w:rPr>
      </w:pPr>
      <w:r>
        <w:rPr>
          <w:color w:val="000000"/>
        </w:rPr>
        <w:t>“</w:t>
      </w:r>
      <w:r>
        <w:rPr>
          <w:rFonts w:ascii="Times New Roman;Times;serif" w:hAnsi="Times New Roman;Times;serif"/>
          <w:color w:val="000000"/>
          <w:sz w:val="20"/>
          <w:u w:val="single"/>
        </w:rPr>
        <w:t>Affiliate</w:t>
      </w:r>
      <w:r>
        <w:rPr>
          <w:rFonts w:ascii="Times New Roman;Times;serif" w:hAnsi="Times New Roman;Times;serif"/>
          <w:color w:val="000000"/>
          <w:sz w:val="20"/>
        </w:rPr>
        <w:t>” means any Person that, directly or indirectly through one or more intermediaries, controls or is controlled by or is under common control with a Person, as such terms are used in and construed under Rule 405 under the Securities Act.</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color w:val="000000"/>
        </w:rPr>
      </w:pPr>
      <w:r>
        <w:rPr>
          <w:color w:val="000000"/>
        </w:rPr>
        <w:t>“</w:t>
      </w:r>
      <w:r>
        <w:rPr>
          <w:rFonts w:ascii="Times New Roman;Times;serif" w:hAnsi="Times New Roman;Times;serif"/>
          <w:color w:val="000000"/>
          <w:sz w:val="20"/>
          <w:u w:val="single"/>
        </w:rPr>
        <w:t>Agent Indemnitees</w:t>
      </w:r>
      <w:r>
        <w:rPr>
          <w:rFonts w:ascii="Times New Roman;Times;serif" w:hAnsi="Times New Roman;Times;serif"/>
          <w:color w:val="000000"/>
          <w:sz w:val="20"/>
        </w:rPr>
        <w:t>” shall have the meaning ascribed to such term in Section 5.25.</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color w:val="000000"/>
        </w:rPr>
      </w:pPr>
      <w:r>
        <w:rPr>
          <w:color w:val="000000"/>
        </w:rPr>
        <w:t>“</w:t>
      </w:r>
      <w:r>
        <w:rPr>
          <w:rFonts w:ascii="Times New Roman;Times;serif" w:hAnsi="Times New Roman;Times;serif"/>
          <w:color w:val="000000"/>
          <w:sz w:val="20"/>
          <w:u w:val="single"/>
        </w:rPr>
        <w:t>Board of Directors</w:t>
      </w:r>
      <w:r>
        <w:rPr>
          <w:rFonts w:ascii="Times New Roman;Times;serif" w:hAnsi="Times New Roman;Times;serif"/>
          <w:color w:val="000000"/>
          <w:sz w:val="20"/>
        </w:rPr>
        <w:t>” means the board of directors of the Company or any duly authorized committee thereof.</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color w:val="000000"/>
        </w:rPr>
      </w:pPr>
      <w:r>
        <w:rPr>
          <w:color w:val="000000"/>
        </w:rPr>
        <w:t>“</w:t>
      </w:r>
      <w:r>
        <w:rPr>
          <w:rFonts w:ascii="Times New Roman;Times;serif" w:hAnsi="Times New Roman;Times;serif"/>
          <w:color w:val="000000"/>
          <w:sz w:val="20"/>
          <w:u w:val="single"/>
        </w:rPr>
        <w:t>Business Day</w:t>
      </w:r>
      <w:r>
        <w:rPr>
          <w:rFonts w:ascii="Times New Roman;Times;serif" w:hAnsi="Times New Roman;Times;serif"/>
          <w:color w:val="000000"/>
          <w:sz w:val="20"/>
        </w:rPr>
        <w:t xml:space="preserve">” means any day other than Saturday, Sunday or other day on which commercial banks in the City of New York are authorized or required by law to remain closed;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however</w:t>
      </w:r>
      <w:r>
        <w:rPr>
          <w:rFonts w:ascii="Times New Roman;Times;serif" w:hAnsi="Times New Roman;Times;serif"/>
          <w:color w:val="000000"/>
          <w:sz w:val="20"/>
        </w:rPr>
        <w:t>, for clarification, commercial banks shall not be deemed to be authorized or required by law to remain closed due to “stay at home”, “shelter-in-place”, “non-essential employee” or any other similar orders or restrictions or the closure of any physical branch locations at the direction of any governmental authority so long as the electronic funds transfer systems (including for wire transfers) of commercial banks in the City of New York are generally open for use by customers on such day.</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color w:val="000000"/>
        </w:rPr>
      </w:pPr>
      <w:r>
        <w:rPr>
          <w:color w:val="000000"/>
        </w:rPr>
        <w:t>“</w:t>
      </w:r>
      <w:r>
        <w:rPr>
          <w:rFonts w:ascii="Times New Roman;Times;serif" w:hAnsi="Times New Roman;Times;serif"/>
          <w:color w:val="000000"/>
          <w:sz w:val="20"/>
          <w:u w:val="single"/>
        </w:rPr>
        <w:t>Closing</w:t>
      </w:r>
      <w:r>
        <w:rPr>
          <w:rFonts w:ascii="Times New Roman;Times;serif" w:hAnsi="Times New Roman;Times;serif"/>
          <w:color w:val="000000"/>
          <w:sz w:val="20"/>
        </w:rPr>
        <w:t>” means each of the Initial Closing and Additional Closing.</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color w:val="000000"/>
        </w:rPr>
      </w:pPr>
      <w:r>
        <w:rPr>
          <w:color w:val="000000"/>
        </w:rPr>
        <w:t>“</w:t>
      </w:r>
      <w:r>
        <w:rPr>
          <w:rFonts w:ascii="Times New Roman;Times;serif" w:hAnsi="Times New Roman;Times;serif"/>
          <w:color w:val="000000"/>
          <w:sz w:val="20"/>
          <w:u w:val="single"/>
        </w:rPr>
        <w:t>Closing Date</w:t>
      </w:r>
      <w:r>
        <w:rPr>
          <w:rFonts w:ascii="Times New Roman;Times;serif" w:hAnsi="Times New Roman;Times;serif"/>
          <w:color w:val="000000"/>
          <w:sz w:val="20"/>
        </w:rPr>
        <w:t>” means each of the Initial Closing Date and Additional Closing Date.</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color w:val="000000"/>
        </w:rPr>
      </w:pPr>
      <w:r>
        <w:rPr>
          <w:color w:val="000000"/>
        </w:rPr>
        <w:t>“</w:t>
      </w:r>
      <w:r>
        <w:rPr>
          <w:rFonts w:ascii="Times New Roman;Times;serif" w:hAnsi="Times New Roman;Times;serif"/>
          <w:color w:val="000000"/>
          <w:sz w:val="20"/>
          <w:u w:val="single"/>
        </w:rPr>
        <w:t>Code</w:t>
      </w:r>
      <w:r>
        <w:rPr>
          <w:rFonts w:ascii="Times New Roman;Times;serif" w:hAnsi="Times New Roman;Times;serif"/>
          <w:color w:val="000000"/>
          <w:sz w:val="20"/>
        </w:rPr>
        <w:t>” means the U.S. Internal Revenue Code of 1986, as amended.</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color w:val="000000"/>
        </w:rPr>
      </w:pPr>
      <w:r>
        <w:rPr>
          <w:color w:val="000000"/>
        </w:rPr>
        <w:t>“</w:t>
      </w:r>
      <w:r>
        <w:rPr>
          <w:rFonts w:ascii="Times New Roman;Times;serif" w:hAnsi="Times New Roman;Times;serif"/>
          <w:color w:val="000000"/>
          <w:sz w:val="20"/>
          <w:u w:val="single"/>
        </w:rPr>
        <w:t>Commission</w:t>
      </w:r>
      <w:r>
        <w:rPr>
          <w:rFonts w:ascii="Times New Roman;Times;serif" w:hAnsi="Times New Roman;Times;serif"/>
          <w:color w:val="000000"/>
          <w:sz w:val="20"/>
        </w:rPr>
        <w:t>” means the United States Securities and Exchange Commission.</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color w:val="000000"/>
        </w:rPr>
      </w:pPr>
      <w:r>
        <w:rPr>
          <w:color w:val="000000"/>
        </w:rPr>
        <w:t>“</w:t>
      </w:r>
      <w:r>
        <w:rPr>
          <w:rFonts w:ascii="Times New Roman;Times;serif" w:hAnsi="Times New Roman;Times;serif"/>
          <w:color w:val="000000"/>
          <w:sz w:val="20"/>
          <w:u w:val="single"/>
        </w:rPr>
        <w:t>Companies Law</w:t>
      </w:r>
      <w:r>
        <w:rPr>
          <w:rFonts w:ascii="Times New Roman;Times;serif" w:hAnsi="Times New Roman;Times;serif"/>
          <w:color w:val="000000"/>
          <w:sz w:val="20"/>
        </w:rPr>
        <w:t>” means the Israel Companies Law, 5759-1999 and the regulations promulgated thereunder.</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color w:val="000000"/>
        </w:rPr>
      </w:pPr>
      <w:r>
        <w:rPr>
          <w:color w:val="000000"/>
        </w:rPr>
        <w:t>“</w:t>
      </w:r>
      <w:r>
        <w:rPr>
          <w:rFonts w:ascii="Times New Roman;Times;serif" w:hAnsi="Times New Roman;Times;serif"/>
          <w:color w:val="000000"/>
          <w:sz w:val="20"/>
          <w:u w:val="single"/>
        </w:rPr>
        <w:t>Company Israeli Counsel</w:t>
      </w:r>
      <w:r>
        <w:rPr>
          <w:rFonts w:ascii="Times New Roman;Times;serif" w:hAnsi="Times New Roman;Times;serif"/>
          <w:color w:val="000000"/>
          <w:sz w:val="20"/>
        </w:rPr>
        <w:t>” means Goldfarb Gross Seligman &amp; Co., with offices located at Azrieli Center, Round Building, Tel Aviv 6701101, Israel.</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color w:val="000000"/>
        </w:rPr>
      </w:pPr>
      <w:r>
        <w:rPr>
          <w:color w:val="000000"/>
        </w:rPr>
        <w:t>“</w:t>
      </w:r>
      <w:r>
        <w:rPr>
          <w:rFonts w:ascii="Times New Roman;Times;serif" w:hAnsi="Times New Roman;Times;serif"/>
          <w:color w:val="000000"/>
          <w:sz w:val="20"/>
          <w:u w:val="single"/>
        </w:rPr>
        <w:t>Company U.S. Counsel</w:t>
      </w:r>
      <w:r>
        <w:rPr>
          <w:rFonts w:ascii="Times New Roman;Times;serif" w:hAnsi="Times New Roman;Times;serif"/>
          <w:color w:val="000000"/>
          <w:sz w:val="20"/>
        </w:rPr>
        <w:t>” means Goodwin Procter LLP, with offices located at 3025 John F Kennedy Blvd, Philadelphia, PA 19104.</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color w:val="000000"/>
        </w:rPr>
      </w:pPr>
      <w:r>
        <w:rPr>
          <w:color w:val="000000"/>
        </w:rPr>
        <w:t>“</w:t>
      </w:r>
      <w:r>
        <w:rPr>
          <w:rFonts w:ascii="Times New Roman;Times;serif" w:hAnsi="Times New Roman;Times;serif"/>
          <w:color w:val="000000"/>
          <w:sz w:val="20"/>
          <w:u w:val="single"/>
        </w:rPr>
        <w:t>Conversion Price</w:t>
      </w:r>
      <w:r>
        <w:rPr>
          <w:rFonts w:ascii="Times New Roman;Times;serif" w:hAnsi="Times New Roman;Times;serif"/>
          <w:color w:val="000000"/>
          <w:sz w:val="20"/>
        </w:rPr>
        <w:t>” shall have the meaning ascribed to such term in the Notes.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color w:val="000000"/>
        </w:rPr>
      </w:pPr>
      <w:r>
        <w:rPr>
          <w:color w:val="000000"/>
        </w:rPr>
        <w:t>“</w:t>
      </w:r>
      <w:r>
        <w:rPr>
          <w:rFonts w:ascii="Times New Roman;Times;serif" w:hAnsi="Times New Roman;Times;serif"/>
          <w:color w:val="000000"/>
          <w:sz w:val="20"/>
          <w:u w:val="single"/>
        </w:rPr>
        <w:t>Conversion Shares</w:t>
      </w:r>
      <w:r>
        <w:rPr>
          <w:rFonts w:ascii="Times New Roman;Times;serif" w:hAnsi="Times New Roman;Times;serif"/>
          <w:color w:val="000000"/>
          <w:sz w:val="20"/>
        </w:rPr>
        <w:t>” means the Ordinary Shares issued and issuable pursuant to the terms of the Notes, without respect to any limitation or restriction on the conversion of the Notes.</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w:t>
      </w:r>
    </w:p>
    <w:p>
      <w:pPr>
        <w:pStyle w:val="HorizontalLine"/>
        <w:pBdr>
          <w:bottom w:val="single" w:sz="12" w:space="0" w:color="808080"/>
        </w:pBdr>
        <w:bidi w:val="0"/>
        <w:spacing w:before="200" w:after="200"/>
        <w:jc w:val="left"/>
        <w:rPr/>
      </w:pPr>
      <w:r>
        <w:rPr/>
      </w:r>
    </w:p>
    <w:p>
      <w:pPr>
        <w:pStyle w:val="TextBody"/>
        <w:bidi w:val="0"/>
        <w:spacing w:lineRule="auto" w:line="300" w:before="0" w:after="0"/>
        <w:ind w:left="720" w:right="0" w:firstLine="720"/>
        <w:jc w:val="both"/>
        <w:rPr>
          <w:color w:val="000000"/>
        </w:rPr>
      </w:pPr>
      <w:r>
        <w:rPr>
          <w:color w:val="000000"/>
        </w:rPr>
        <w:t>“</w:t>
      </w:r>
      <w:r>
        <w:rPr>
          <w:rFonts w:ascii="Times New Roman;Times;serif" w:hAnsi="Times New Roman;Times;serif"/>
          <w:color w:val="000000"/>
          <w:sz w:val="20"/>
          <w:u w:val="single"/>
        </w:rPr>
        <w:t>Disclosure Schedules</w:t>
      </w:r>
      <w:r>
        <w:rPr>
          <w:rFonts w:ascii="Times New Roman;Times;serif" w:hAnsi="Times New Roman;Times;serif"/>
          <w:color w:val="000000"/>
          <w:sz w:val="20"/>
        </w:rPr>
        <w:t>” means the Disclosure Schedules of the Company delivered concurrently herewith.</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color w:val="000000"/>
        </w:rPr>
      </w:pPr>
      <w:r>
        <w:rPr>
          <w:color w:val="000000"/>
        </w:rPr>
        <w:t>“</w:t>
      </w:r>
      <w:r>
        <w:rPr>
          <w:rFonts w:ascii="Times New Roman;Times;serif" w:hAnsi="Times New Roman;Times;serif"/>
          <w:color w:val="000000"/>
          <w:sz w:val="20"/>
          <w:u w:val="single"/>
        </w:rPr>
        <w:t>Disclosure Time</w:t>
      </w:r>
      <w:r>
        <w:rPr>
          <w:rFonts w:ascii="Times New Roman;Times;serif" w:hAnsi="Times New Roman;Times;serif"/>
          <w:color w:val="000000"/>
          <w:sz w:val="20"/>
        </w:rPr>
        <w:t>” means, (i) if this Agreement is signed on a day that is not a Trading Day or after 9:00 a.m. (New York City time) and before midnight (New York City time) on any Trading Day, 9:01 a.m. (New York City time) on the Trading Day immediately following the date hereof, and (ii) if this Agreement is signed between midnight (New York City time) and 9:00 a.m. (New York City time) on any Trading Day, no later than 9:01 a.m. (New York City time) on the date hereof.</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color w:val="000000"/>
        </w:rPr>
      </w:pPr>
      <w:r>
        <w:rPr>
          <w:color w:val="000000"/>
        </w:rPr>
        <w:t>“</w:t>
      </w:r>
      <w:r>
        <w:rPr>
          <w:rFonts w:ascii="Times New Roman;Times;serif" w:hAnsi="Times New Roman;Times;serif"/>
          <w:color w:val="000000"/>
          <w:sz w:val="20"/>
          <w:u w:val="single"/>
        </w:rPr>
        <w:t>Evaluation Date</w:t>
      </w:r>
      <w:r>
        <w:rPr>
          <w:rFonts w:ascii="Times New Roman;Times;serif" w:hAnsi="Times New Roman;Times;serif"/>
          <w:color w:val="000000"/>
          <w:sz w:val="20"/>
        </w:rPr>
        <w:t>” shall have the meaning ascribed to such term in Section 3.1(s).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color w:val="000000"/>
        </w:rPr>
      </w:pPr>
      <w:r>
        <w:rPr>
          <w:color w:val="000000"/>
        </w:rPr>
        <w:t>“</w:t>
      </w:r>
      <w:r>
        <w:rPr>
          <w:rFonts w:ascii="Times New Roman;Times;serif" w:hAnsi="Times New Roman;Times;serif"/>
          <w:color w:val="000000"/>
          <w:sz w:val="20"/>
          <w:u w:val="single"/>
        </w:rPr>
        <w:t>Exchange Act</w:t>
      </w:r>
      <w:r>
        <w:rPr>
          <w:rFonts w:ascii="Times New Roman;Times;serif" w:hAnsi="Times New Roman;Times;serif"/>
          <w:color w:val="000000"/>
          <w:sz w:val="20"/>
        </w:rPr>
        <w:t>” means the Securities Exchange Act of 1934, as amended, and the rules and regulations promulgated thereunder.</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color w:val="000000"/>
        </w:rPr>
      </w:pPr>
      <w:r>
        <w:rPr>
          <w:color w:val="000000"/>
        </w:rPr>
        <w:t>“</w:t>
      </w:r>
      <w:r>
        <w:rPr>
          <w:rFonts w:ascii="Times New Roman;Times;serif" w:hAnsi="Times New Roman;Times;serif"/>
          <w:color w:val="000000"/>
          <w:sz w:val="20"/>
          <w:u w:val="single"/>
        </w:rPr>
        <w:t>Exempt Issuance</w:t>
      </w:r>
      <w:r>
        <w:rPr>
          <w:rFonts w:ascii="Times New Roman;Times;serif" w:hAnsi="Times New Roman;Times;serif"/>
          <w:color w:val="000000"/>
          <w:sz w:val="20"/>
        </w:rPr>
        <w:t>” means any issuance of (a) the Securities; (b) Ordinary Shares or options to employees, officers or directors of the Company (including pursuant to inducement awards granted under Nasdaq Listing Rule 5635(c)(4)) pursuant to any share or option plan duly adopted for such purpose, by a majority of the non-employee members of the Board of Directors or a majority of the members of a committee of non-employee directors established for such purpose for services rendered to the Company; (c) Ordinary Shares or Ordinary Share Equivalents granted to Daniel Saar or his affiliated entities; (d) securities upon the exercise or exchange of or conversion of any Securities issued hereunder and/or other securities exercisable or exchangeable for or convertible into Ordinary Shares issued and outstanding on the date hereof, provided that such securities have not been amended since the date hereof to increase the number of such securities or to decrease the exercise price, exchange price or conversion price of such securities (other than in connection with stock splits, combinations) or to extend the term of such securities; and (e) securities issued pursuant to acquisitions or strategic transactions approved by a majority of the disinterested directors of the Company, provided that such securities are issued as “restricted securities” (as defined in Rule 144) and do not require or permit the filing of any registration statement in connection therewith.</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color w:val="000000"/>
        </w:rPr>
      </w:pPr>
      <w:r>
        <w:rPr>
          <w:color w:val="000000"/>
        </w:rPr>
        <w:t>“</w:t>
      </w:r>
      <w:r>
        <w:rPr>
          <w:rFonts w:ascii="Times New Roman;Times;serif" w:hAnsi="Times New Roman;Times;serif"/>
          <w:color w:val="000000"/>
          <w:sz w:val="20"/>
          <w:u w:val="single"/>
        </w:rPr>
        <w:t>FCPA</w:t>
      </w:r>
      <w:r>
        <w:rPr>
          <w:rFonts w:ascii="Times New Roman;Times;serif" w:hAnsi="Times New Roman;Times;serif"/>
          <w:color w:val="000000"/>
          <w:sz w:val="20"/>
        </w:rPr>
        <w:t>” means the Foreign Corrupt Practices Act of 1977, as amended.</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color w:val="000000"/>
        </w:rPr>
      </w:pPr>
      <w:r>
        <w:rPr>
          <w:color w:val="000000"/>
        </w:rPr>
        <w:t>“</w:t>
      </w:r>
      <w:r>
        <w:rPr>
          <w:rFonts w:ascii="Times New Roman;Times;serif" w:hAnsi="Times New Roman;Times;serif"/>
          <w:color w:val="000000"/>
          <w:sz w:val="20"/>
          <w:u w:val="single"/>
        </w:rPr>
        <w:t>GAAP</w:t>
      </w:r>
      <w:r>
        <w:rPr>
          <w:rFonts w:ascii="Times New Roman;Times;serif" w:hAnsi="Times New Roman;Times;serif"/>
          <w:color w:val="000000"/>
          <w:sz w:val="20"/>
        </w:rPr>
        <w:t>” means generally accepted accounting principles in the United States in effect from time to time, consistently applied; provided that notwithstanding anything in any Transaction Document to the contrary, for purposes of all definitions and covenants under the Transaction Documents, any obligations of a Person in respect of leases that would have been treated as operating leases, or are exempt from application under an available practical expedient, in accordance with Accounting Standards Codification 840 (regardless of whether or not then in effect) shall be treated as operating leases for purposes of all financial definitions, calculations and covenants, without giving effect to Accounting Standards Codification 842 requiring operating leases to be recharacterized or treated as capital leases.</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3</w:t>
      </w:r>
    </w:p>
    <w:p>
      <w:pPr>
        <w:pStyle w:val="HorizontalLine"/>
        <w:pBdr>
          <w:bottom w:val="single" w:sz="12" w:space="0" w:color="808080"/>
        </w:pBdr>
        <w:bidi w:val="0"/>
        <w:spacing w:before="200" w:after="200"/>
        <w:jc w:val="left"/>
        <w:rPr/>
      </w:pPr>
      <w:r>
        <w:rPr/>
      </w:r>
    </w:p>
    <w:p>
      <w:pPr>
        <w:pStyle w:val="TextBody"/>
        <w:bidi w:val="0"/>
        <w:spacing w:lineRule="auto" w:line="300" w:before="0" w:after="0"/>
        <w:ind w:left="720" w:right="0" w:firstLine="720"/>
        <w:jc w:val="both"/>
        <w:rPr>
          <w:color w:val="000000"/>
        </w:rPr>
      </w:pPr>
      <w:r>
        <w:rPr>
          <w:color w:val="000000"/>
        </w:rPr>
        <w:t>“</w:t>
      </w:r>
      <w:r>
        <w:rPr>
          <w:rFonts w:ascii="Times New Roman;Times;serif" w:hAnsi="Times New Roman;Times;serif"/>
          <w:color w:val="000000"/>
          <w:sz w:val="20"/>
          <w:u w:val="single"/>
        </w:rPr>
        <w:t>Indebtedness</w:t>
      </w:r>
      <w:r>
        <w:rPr>
          <w:rFonts w:ascii="Times New Roman;Times;serif" w:hAnsi="Times New Roman;Times;serif"/>
          <w:color w:val="000000"/>
          <w:sz w:val="20"/>
        </w:rPr>
        <w:t>” of a Person shall include (a) all obligations for borrowed money or the deferred purchase price of property or services (excluding trade credit and accounts payable incurred in the ordinary course of business), (b) all obligations evidenced by bonds, debentures, notes, or other similar instruments and all reimbursement or other obligations in respect of letters of credit, surety bonds, bankers acceptances, currency swap agreements, interest rate hedging agreements, interest rate swaps or other financial products, in each case, to the extent the foregoing would appear on a balance sheet of such person as a liability, (c) all capital lease obligations (as determined in accordance with GAAP, subject to the proviso set forth in the definition of GAAP hereunder), (d) all obligations or liabilities secured by a Lien on any asset of such Person, irrespective of whether such obligation or liability is assumed by such Person (limited to the lesser of (x) the outstanding principal amount of such obligations or liabilities and (y) the fair market value of such asset), and (e) any obligation guaranteeing or intended to guarantee (whether directly or indirectly guaranteed, endorsed, co-made, discounted or sold with recourse) any of the foregoing obligations of any other Person.</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color w:val="000000"/>
        </w:rPr>
      </w:pPr>
      <w:r>
        <w:rPr>
          <w:color w:val="000000"/>
        </w:rPr>
        <w:t>“</w:t>
      </w:r>
      <w:r>
        <w:rPr>
          <w:rFonts w:ascii="Times New Roman;Times;serif" w:hAnsi="Times New Roman;Times;serif"/>
          <w:color w:val="000000"/>
          <w:sz w:val="20"/>
          <w:u w:val="single"/>
        </w:rPr>
        <w:t>Initial Closing</w:t>
      </w:r>
      <w:r>
        <w:rPr>
          <w:rFonts w:ascii="Times New Roman;Times;serif" w:hAnsi="Times New Roman;Times;serif"/>
          <w:color w:val="000000"/>
          <w:sz w:val="20"/>
        </w:rPr>
        <w:t>” means the closing of the purchase and sale of the Initial Notes and the Initial Warrants pursuant to Section 2.1.</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color w:val="000000"/>
        </w:rPr>
      </w:pPr>
      <w:r>
        <w:rPr>
          <w:color w:val="000000"/>
        </w:rPr>
        <w:t>“</w:t>
      </w:r>
      <w:r>
        <w:rPr>
          <w:rFonts w:ascii="Times New Roman;Times;serif" w:hAnsi="Times New Roman;Times;serif"/>
          <w:color w:val="000000"/>
          <w:sz w:val="20"/>
          <w:u w:val="single"/>
        </w:rPr>
        <w:t>Initial Closing Date</w:t>
      </w:r>
      <w:r>
        <w:rPr>
          <w:rFonts w:ascii="Times New Roman;Times;serif" w:hAnsi="Times New Roman;Times;serif"/>
          <w:color w:val="000000"/>
          <w:sz w:val="20"/>
        </w:rPr>
        <w:t>” means the Trading Day on which all conditions precedent set forth in Section 2.4 to (i) the Purchaser’s obligations to pay the Initial Subscription Amount for the Initial Notes and Initial Warrants and (ii) the Company’s obligations to deliver the Initial Notes and Initial Warrants, in each case, have been satisfied or waived.</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color w:val="000000"/>
        </w:rPr>
      </w:pPr>
      <w:r>
        <w:rPr>
          <w:color w:val="000000"/>
        </w:rPr>
        <w:t>“</w:t>
      </w:r>
      <w:r>
        <w:rPr>
          <w:rFonts w:ascii="Times New Roman;Times;serif" w:hAnsi="Times New Roman;Times;serif"/>
          <w:color w:val="000000"/>
          <w:sz w:val="20"/>
          <w:u w:val="single"/>
        </w:rPr>
        <w:t>Initial Notes</w:t>
      </w:r>
      <w:r>
        <w:rPr>
          <w:rFonts w:ascii="Times New Roman;Times;serif" w:hAnsi="Times New Roman;Times;serif"/>
          <w:color w:val="000000"/>
          <w:sz w:val="20"/>
        </w:rPr>
        <w:t xml:space="preserve">” means the Senior Secured Convertible Notes, issued by the Company to the Purchasers hereunder on the Initial Closing Date, in the form of </w:t>
      </w:r>
      <w:r>
        <w:rPr>
          <w:rFonts w:ascii="Times New Roman;Times;serif" w:hAnsi="Times New Roman;Times;serif"/>
          <w:color w:val="000000"/>
          <w:sz w:val="20"/>
          <w:u w:val="single"/>
        </w:rPr>
        <w:t>Exhibit A</w:t>
      </w:r>
      <w:r>
        <w:rPr>
          <w:rFonts w:ascii="Times New Roman;Times;serif" w:hAnsi="Times New Roman;Times;serif"/>
          <w:color w:val="000000"/>
          <w:sz w:val="20"/>
        </w:rPr>
        <w:t xml:space="preserve"> attached hereto.</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color w:val="000000"/>
        </w:rPr>
      </w:pPr>
      <w:r>
        <w:rPr>
          <w:color w:val="000000"/>
        </w:rPr>
        <w:t>“</w:t>
      </w:r>
      <w:r>
        <w:rPr>
          <w:rFonts w:ascii="Times New Roman;Times;serif" w:hAnsi="Times New Roman;Times;serif"/>
          <w:color w:val="000000"/>
          <w:sz w:val="20"/>
          <w:u w:val="single"/>
        </w:rPr>
        <w:t>Initial Subscription Amount</w:t>
      </w:r>
      <w:r>
        <w:rPr>
          <w:rFonts w:ascii="Times New Roman;Times;serif" w:hAnsi="Times New Roman;Times;serif"/>
          <w:color w:val="000000"/>
          <w:sz w:val="20"/>
        </w:rPr>
        <w:t>” means as to each Purchaser, the aggregate amount to be paid for the Initial Notes and Initial Warrants purchased hereunder pursuant to Section 2.1.</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color w:val="000000"/>
        </w:rPr>
      </w:pPr>
      <w:r>
        <w:rPr>
          <w:color w:val="000000"/>
        </w:rPr>
        <w:t>“</w:t>
      </w:r>
      <w:r>
        <w:rPr>
          <w:rFonts w:ascii="Times New Roman;Times;serif" w:hAnsi="Times New Roman;Times;serif"/>
          <w:color w:val="000000"/>
          <w:sz w:val="20"/>
          <w:u w:val="single"/>
        </w:rPr>
        <w:t>Initial Warrants</w:t>
      </w:r>
      <w:r>
        <w:rPr>
          <w:rFonts w:ascii="Times New Roman;Times;serif" w:hAnsi="Times New Roman;Times;serif"/>
          <w:color w:val="000000"/>
          <w:sz w:val="20"/>
        </w:rPr>
        <w:t xml:space="preserve">” means the Ordinary Share purchase warrants issued by the Company to the Purchasers hereunder on the Initial Closing Date, in the form of </w:t>
      </w:r>
      <w:r>
        <w:rPr>
          <w:rFonts w:ascii="Times New Roman;Times;serif" w:hAnsi="Times New Roman;Times;serif"/>
          <w:color w:val="000000"/>
          <w:sz w:val="20"/>
          <w:u w:val="single"/>
        </w:rPr>
        <w:t>Exhibit C</w:t>
      </w:r>
      <w:r>
        <w:rPr>
          <w:rFonts w:ascii="Times New Roman;Times;serif" w:hAnsi="Times New Roman;Times;serif"/>
          <w:color w:val="000000"/>
          <w:sz w:val="20"/>
        </w:rPr>
        <w:t xml:space="preserve"> attached hereto, which Initial Warrants shall be exercisable upon issuance and have an expiration date that is five (5) years after issuance.</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color w:val="000000"/>
        </w:rPr>
      </w:pPr>
      <w:r>
        <w:rPr>
          <w:color w:val="000000"/>
        </w:rPr>
        <w:t>“</w:t>
      </w:r>
      <w:r>
        <w:rPr>
          <w:rFonts w:ascii="Times New Roman;Times;serif" w:hAnsi="Times New Roman;Times;serif"/>
          <w:color w:val="000000"/>
          <w:sz w:val="20"/>
          <w:u w:val="single"/>
        </w:rPr>
        <w:t>Intellectual Property Rights</w:t>
      </w:r>
      <w:r>
        <w:rPr>
          <w:rFonts w:ascii="Times New Roman;Times;serif" w:hAnsi="Times New Roman;Times;serif"/>
          <w:color w:val="000000"/>
          <w:sz w:val="20"/>
        </w:rPr>
        <w:t>” shall have the meaning ascribed to such term in Section 3.1(p).</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color w:val="000000"/>
        </w:rPr>
      </w:pPr>
      <w:r>
        <w:rPr>
          <w:color w:val="000000"/>
        </w:rPr>
        <w:t>“</w:t>
      </w:r>
      <w:r>
        <w:rPr>
          <w:rFonts w:ascii="Times New Roman;Times;serif" w:hAnsi="Times New Roman;Times;serif"/>
          <w:color w:val="000000"/>
          <w:sz w:val="20"/>
          <w:u w:val="single"/>
        </w:rPr>
        <w:t>Legend Removal Date</w:t>
      </w:r>
      <w:r>
        <w:rPr>
          <w:rFonts w:ascii="Times New Roman;Times;serif" w:hAnsi="Times New Roman;Times;serif"/>
          <w:color w:val="000000"/>
          <w:sz w:val="20"/>
        </w:rPr>
        <w:t>” shall have the meaning ascribed to such term in Section 4.1(c).</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color w:val="000000"/>
        </w:rPr>
      </w:pPr>
      <w:r>
        <w:rPr>
          <w:color w:val="000000"/>
        </w:rPr>
        <w:t>“</w:t>
      </w:r>
      <w:r>
        <w:rPr>
          <w:rFonts w:ascii="Times New Roman;Times;serif" w:hAnsi="Times New Roman;Times;serif"/>
          <w:color w:val="000000"/>
          <w:sz w:val="20"/>
          <w:u w:val="single"/>
        </w:rPr>
        <w:t>Lien</w:t>
      </w:r>
      <w:r>
        <w:rPr>
          <w:rFonts w:ascii="Times New Roman;Times;serif" w:hAnsi="Times New Roman;Times;serif"/>
          <w:color w:val="000000"/>
          <w:sz w:val="20"/>
        </w:rPr>
        <w:t>” means any mortgage, deed of trust, pledge, hypothecation, assignment for security, assignment by way of security, security interest, encumbrance, levy, lien or charge of any kind, whether voluntarily incurred or arising by operation of law or otherwise, against any property, any conditional sale or other title retention agreement, and any lease in the nature of a security interest.</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4</w:t>
      </w:r>
    </w:p>
    <w:p>
      <w:pPr>
        <w:pStyle w:val="HorizontalLine"/>
        <w:pBdr>
          <w:bottom w:val="single" w:sz="12" w:space="0" w:color="808080"/>
        </w:pBdr>
        <w:bidi w:val="0"/>
        <w:spacing w:before="200" w:after="200"/>
        <w:jc w:val="left"/>
        <w:rPr/>
      </w:pPr>
      <w:r>
        <w:rPr/>
      </w:r>
    </w:p>
    <w:p>
      <w:pPr>
        <w:pStyle w:val="TextBody"/>
        <w:bidi w:val="0"/>
        <w:spacing w:lineRule="auto" w:line="300" w:before="0" w:after="0"/>
        <w:ind w:left="720" w:right="0" w:firstLine="720"/>
        <w:jc w:val="both"/>
        <w:rPr>
          <w:color w:val="000000"/>
        </w:rPr>
      </w:pPr>
      <w:r>
        <w:rPr>
          <w:color w:val="000000"/>
        </w:rPr>
        <w:t>“</w:t>
      </w:r>
      <w:r>
        <w:rPr>
          <w:rFonts w:ascii="Times New Roman;Times;serif" w:hAnsi="Times New Roman;Times;serif"/>
          <w:color w:val="000000"/>
          <w:sz w:val="20"/>
          <w:u w:val="single"/>
        </w:rPr>
        <w:t>Majority Holders</w:t>
      </w:r>
      <w:r>
        <w:rPr>
          <w:rFonts w:ascii="Times New Roman;Times;serif" w:hAnsi="Times New Roman;Times;serif"/>
          <w:color w:val="000000"/>
          <w:sz w:val="20"/>
        </w:rPr>
        <w:t xml:space="preserve">” means, the holders of at least 50.1% in interest of the then outstanding Notes;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that</w:t>
      </w:r>
      <w:r>
        <w:rPr>
          <w:rFonts w:ascii="Times New Roman;Times;serif" w:hAnsi="Times New Roman;Times;serif"/>
          <w:color w:val="000000"/>
          <w:sz w:val="20"/>
        </w:rPr>
        <w:t xml:space="preserve"> such holders must include Oramed Pharmaceuticals, Inc. so long as it holds any Notes.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color w:val="000000"/>
        </w:rPr>
      </w:pPr>
      <w:r>
        <w:rPr>
          <w:color w:val="000000"/>
        </w:rPr>
        <w:t>“</w:t>
      </w:r>
      <w:r>
        <w:rPr>
          <w:rFonts w:ascii="Times New Roman;Times;serif" w:hAnsi="Times New Roman;Times;serif"/>
          <w:color w:val="000000"/>
          <w:sz w:val="20"/>
          <w:u w:val="single"/>
        </w:rPr>
        <w:t>Material Adverse Effect</w:t>
      </w:r>
      <w:r>
        <w:rPr>
          <w:rFonts w:ascii="Times New Roman;Times;serif" w:hAnsi="Times New Roman;Times;serif"/>
          <w:color w:val="000000"/>
          <w:sz w:val="20"/>
        </w:rPr>
        <w:t>” shall have the meaning assigned to such term in Section 3.1(b).</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color w:val="000000"/>
        </w:rPr>
      </w:pPr>
      <w:r>
        <w:rPr>
          <w:color w:val="000000"/>
        </w:rPr>
        <w:t>“</w:t>
      </w:r>
      <w:r>
        <w:rPr>
          <w:rFonts w:ascii="Times New Roman;Times;serif" w:hAnsi="Times New Roman;Times;serif"/>
          <w:color w:val="000000"/>
          <w:sz w:val="20"/>
          <w:u w:val="single"/>
        </w:rPr>
        <w:t>Material Permits</w:t>
      </w:r>
      <w:r>
        <w:rPr>
          <w:rFonts w:ascii="Times New Roman;Times;serif" w:hAnsi="Times New Roman;Times;serif"/>
          <w:color w:val="000000"/>
          <w:sz w:val="20"/>
        </w:rPr>
        <w:t>” shall have the meaning ascribed to such term in Section 3.1(n).</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color w:val="000000"/>
        </w:rPr>
      </w:pPr>
      <w:r>
        <w:rPr>
          <w:color w:val="000000"/>
        </w:rPr>
        <w:t>“</w:t>
      </w:r>
      <w:r>
        <w:rPr>
          <w:rFonts w:ascii="Times New Roman;Times;serif" w:hAnsi="Times New Roman;Times;serif"/>
          <w:color w:val="000000"/>
          <w:sz w:val="20"/>
          <w:u w:val="single"/>
        </w:rPr>
        <w:t>Maximum Rate</w:t>
      </w:r>
      <w:r>
        <w:rPr>
          <w:rFonts w:ascii="Times New Roman;Times;serif" w:hAnsi="Times New Roman;Times;serif"/>
          <w:color w:val="000000"/>
          <w:sz w:val="20"/>
        </w:rPr>
        <w:t>” shall have the meaning ascribed to such term in Section 5.17.</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color w:val="000000"/>
        </w:rPr>
      </w:pPr>
      <w:r>
        <w:rPr>
          <w:color w:val="000000"/>
        </w:rPr>
        <w:t>“</w:t>
      </w:r>
      <w:r>
        <w:rPr>
          <w:rFonts w:ascii="Times New Roman;Times;serif" w:hAnsi="Times New Roman;Times;serif"/>
          <w:color w:val="000000"/>
          <w:sz w:val="20"/>
          <w:u w:val="single"/>
        </w:rPr>
        <w:t>Merger Agreement</w:t>
      </w:r>
      <w:r>
        <w:rPr>
          <w:rFonts w:ascii="Times New Roman;Times;serif" w:hAnsi="Times New Roman;Times;serif"/>
          <w:color w:val="000000"/>
          <w:sz w:val="20"/>
        </w:rPr>
        <w:t>” means that certain Agreement and Plan of Merger, dated as of August 8, 2023, by and among LI, AlterG, Inc., Atlas Merger Sub, Inc., a wholly owned subsidiary of AlterG, Inc., and Shareholder Representative Services LLC.</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color w:val="000000"/>
        </w:rPr>
      </w:pPr>
      <w:r>
        <w:rPr>
          <w:color w:val="000000"/>
        </w:rPr>
        <w:t>“</w:t>
      </w:r>
      <w:r>
        <w:rPr>
          <w:rFonts w:ascii="Times New Roman;Times;serif" w:hAnsi="Times New Roman;Times;serif"/>
          <w:color w:val="000000"/>
          <w:sz w:val="20"/>
          <w:u w:val="single"/>
        </w:rPr>
        <w:t>Notes</w:t>
      </w:r>
      <w:r>
        <w:rPr>
          <w:rFonts w:ascii="Times New Roman;Times;serif" w:hAnsi="Times New Roman;Times;serif"/>
          <w:color w:val="000000"/>
          <w:sz w:val="20"/>
        </w:rPr>
        <w:t>” means the Initial Notes and the Additional Notes.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color w:val="000000"/>
        </w:rPr>
      </w:pPr>
      <w:r>
        <w:rPr>
          <w:color w:val="000000"/>
        </w:rPr>
        <w:t>“</w:t>
      </w:r>
      <w:r>
        <w:rPr>
          <w:rFonts w:ascii="Times New Roman;Times;serif" w:hAnsi="Times New Roman;Times;serif"/>
          <w:color w:val="000000"/>
          <w:sz w:val="20"/>
          <w:u w:val="single"/>
        </w:rPr>
        <w:t>Ordinary Shares</w:t>
      </w:r>
      <w:r>
        <w:rPr>
          <w:rFonts w:ascii="Times New Roman;Times;serif" w:hAnsi="Times New Roman;Times;serif"/>
          <w:color w:val="000000"/>
          <w:sz w:val="20"/>
        </w:rPr>
        <w:t>” means the ordinary shares of the Company, no par value per share, and any other class of securities into which such securities may hereafter be reclassified or changed.</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color w:val="000000"/>
        </w:rPr>
      </w:pPr>
      <w:r>
        <w:rPr>
          <w:color w:val="000000"/>
        </w:rPr>
        <w:t>“</w:t>
      </w:r>
      <w:r>
        <w:rPr>
          <w:rFonts w:ascii="Times New Roman;Times;serif" w:hAnsi="Times New Roman;Times;serif"/>
          <w:color w:val="000000"/>
          <w:sz w:val="20"/>
          <w:u w:val="single"/>
        </w:rPr>
        <w:t>Ordinary Share Equivalents</w:t>
      </w:r>
      <w:r>
        <w:rPr>
          <w:rFonts w:ascii="Times New Roman;Times;serif" w:hAnsi="Times New Roman;Times;serif"/>
          <w:color w:val="000000"/>
          <w:sz w:val="20"/>
        </w:rPr>
        <w:t>” means any securities of the Company or the Subsidiaries which would entitle the holder thereof to acquire at any time Ordinary Shares, including, without limitation, any debt, preferred stock, right, option, warrant or other instrument that is at any time convertible into or exercisable or exchangeable for, or otherwise entitles the holder thereof to receive, Ordinary Shares.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color w:val="000000"/>
        </w:rPr>
      </w:pPr>
      <w:r>
        <w:rPr>
          <w:color w:val="000000"/>
        </w:rPr>
        <w:t>“</w:t>
      </w:r>
      <w:r>
        <w:rPr>
          <w:rFonts w:ascii="Times New Roman;Times;serif" w:hAnsi="Times New Roman;Times;serif"/>
          <w:color w:val="000000"/>
          <w:sz w:val="20"/>
          <w:u w:val="single"/>
        </w:rPr>
        <w:t>Permitted Lien</w:t>
      </w:r>
      <w:r>
        <w:rPr>
          <w:rFonts w:ascii="Times New Roman;Times;serif" w:hAnsi="Times New Roman;Times;serif"/>
          <w:color w:val="000000"/>
          <w:sz w:val="20"/>
        </w:rPr>
        <w:t>” shall have the meaning ascribed to such term in the Notes.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color w:val="000000"/>
        </w:rPr>
      </w:pPr>
      <w:r>
        <w:rPr>
          <w:color w:val="000000"/>
        </w:rPr>
        <w:t>“</w:t>
      </w:r>
      <w:r>
        <w:rPr>
          <w:rFonts w:ascii="Times New Roman;Times;serif" w:hAnsi="Times New Roman;Times;serif"/>
          <w:color w:val="000000"/>
          <w:sz w:val="20"/>
          <w:u w:val="single"/>
        </w:rPr>
        <w:t>Person</w:t>
      </w:r>
      <w:r>
        <w:rPr>
          <w:rFonts w:ascii="Times New Roman;Times;serif" w:hAnsi="Times New Roman;Times;serif"/>
          <w:color w:val="000000"/>
          <w:sz w:val="20"/>
        </w:rPr>
        <w:t>” means an individual or corporation, partnership, exempted company, exempted limited partnership, trust, incorporated or unincorporated association, joint venture, limited liability company, joint stock company, government (or an agency or subdivision thereof) or other entity of any kind.</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color w:val="000000"/>
        </w:rPr>
      </w:pPr>
      <w:r>
        <w:rPr>
          <w:color w:val="000000"/>
        </w:rPr>
        <w:t>“</w:t>
      </w:r>
      <w:r>
        <w:rPr>
          <w:rFonts w:ascii="Times New Roman;Times;serif" w:hAnsi="Times New Roman;Times;serif"/>
          <w:color w:val="000000"/>
          <w:sz w:val="20"/>
          <w:u w:val="single"/>
        </w:rPr>
        <w:t>Principal Amount</w:t>
      </w:r>
      <w:r>
        <w:rPr>
          <w:rFonts w:ascii="Times New Roman;Times;serif" w:hAnsi="Times New Roman;Times;serif"/>
          <w:color w:val="000000"/>
          <w:sz w:val="20"/>
        </w:rPr>
        <w:t xml:space="preserve">” means, as to each Purchaser, the amounts set forth below such Purchaser’s signature block on the signature pages hereto next to the headings “Initial Note Principal Amount” and “Additional Note Principal Amount,” in each case, in United States Dollars, </w:t>
      </w:r>
      <w:r>
        <w:rPr>
          <w:rFonts w:ascii="Times New Roman;Times;serif" w:hAnsi="Times New Roman;Times;serif"/>
          <w:color w:val="000000"/>
          <w:sz w:val="20"/>
          <w:u w:val="single"/>
        </w:rPr>
        <w:t>provided</w:t>
      </w:r>
      <w:r>
        <w:rPr>
          <w:rFonts w:ascii="Times New Roman;Times;serif" w:hAnsi="Times New Roman;Times;serif"/>
          <w:color w:val="000000"/>
          <w:sz w:val="20"/>
        </w:rPr>
        <w:t> </w:t>
      </w:r>
      <w:r>
        <w:rPr>
          <w:rFonts w:ascii="Times New Roman;Times;serif" w:hAnsi="Times New Roman;Times;serif"/>
          <w:color w:val="000000"/>
          <w:sz w:val="20"/>
          <w:u w:val="single"/>
        </w:rPr>
        <w:t>that</w:t>
      </w:r>
      <w:r>
        <w:rPr>
          <w:rFonts w:ascii="Times New Roman;Times;serif" w:hAnsi="Times New Roman;Times;serif"/>
          <w:color w:val="000000"/>
          <w:sz w:val="20"/>
        </w:rPr>
        <w:t xml:space="preserve"> the aggregate Principal Amount of all Purchasers for (i) the Initial Notes shall be a principal amount equal to $5,580,000.00, and (ii) the Additional Notes shall be a principal amount equal to $5,580,000.00.</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color w:val="000000"/>
        </w:rPr>
      </w:pPr>
      <w:r>
        <w:rPr>
          <w:color w:val="000000"/>
        </w:rPr>
        <w:t>“</w:t>
      </w:r>
      <w:r>
        <w:rPr>
          <w:rFonts w:ascii="Times New Roman;Times;serif" w:hAnsi="Times New Roman;Times;serif"/>
          <w:color w:val="000000"/>
          <w:sz w:val="20"/>
          <w:u w:val="single"/>
        </w:rPr>
        <w:t>Proceeding</w:t>
      </w:r>
      <w:r>
        <w:rPr>
          <w:rFonts w:ascii="Times New Roman;Times;serif" w:hAnsi="Times New Roman;Times;serif"/>
          <w:color w:val="000000"/>
          <w:sz w:val="20"/>
        </w:rPr>
        <w:t>” means an action, claim, suit, investigation or proceeding (including, without limitation, an informal investigation or partial proceeding, such as a deposition), whether commenced or threatened.</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color w:val="000000"/>
        </w:rPr>
      </w:pPr>
      <w:r>
        <w:rPr>
          <w:color w:val="000000"/>
        </w:rPr>
        <w:t>“</w:t>
      </w:r>
      <w:r>
        <w:rPr>
          <w:rFonts w:ascii="Times New Roman;Times;serif" w:hAnsi="Times New Roman;Times;serif"/>
          <w:color w:val="000000"/>
          <w:sz w:val="20"/>
          <w:u w:val="single"/>
        </w:rPr>
        <w:t>Public Information Failure</w:t>
      </w:r>
      <w:r>
        <w:rPr>
          <w:rFonts w:ascii="Times New Roman;Times;serif" w:hAnsi="Times New Roman;Times;serif"/>
          <w:color w:val="000000"/>
          <w:sz w:val="20"/>
        </w:rPr>
        <w:t>” shall have the meaning ascribed to such term in Section 4.3(b).</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5</w:t>
      </w:r>
    </w:p>
    <w:p>
      <w:pPr>
        <w:pStyle w:val="HorizontalLine"/>
        <w:pBdr>
          <w:bottom w:val="single" w:sz="12" w:space="0" w:color="808080"/>
        </w:pBdr>
        <w:bidi w:val="0"/>
        <w:spacing w:before="200" w:after="200"/>
        <w:jc w:val="left"/>
        <w:rPr/>
      </w:pPr>
      <w:r>
        <w:rPr/>
      </w:r>
    </w:p>
    <w:p>
      <w:pPr>
        <w:pStyle w:val="TextBody"/>
        <w:bidi w:val="0"/>
        <w:spacing w:lineRule="auto" w:line="300" w:before="0" w:after="0"/>
        <w:ind w:left="720" w:right="0" w:firstLine="720"/>
        <w:jc w:val="both"/>
        <w:rPr>
          <w:color w:val="000000"/>
        </w:rPr>
      </w:pPr>
      <w:r>
        <w:rPr>
          <w:color w:val="000000"/>
        </w:rPr>
        <w:t>“</w:t>
      </w:r>
      <w:r>
        <w:rPr>
          <w:rFonts w:ascii="Times New Roman;Times;serif" w:hAnsi="Times New Roman;Times;serif"/>
          <w:color w:val="000000"/>
          <w:sz w:val="20"/>
          <w:u w:val="single"/>
        </w:rPr>
        <w:t>Public Information Failure Payments</w:t>
      </w:r>
      <w:r>
        <w:rPr>
          <w:rFonts w:ascii="Times New Roman;Times;serif" w:hAnsi="Times New Roman;Times;serif"/>
          <w:color w:val="000000"/>
          <w:sz w:val="20"/>
        </w:rPr>
        <w:t>” shall have the meaning ascribed to such term in Section 4.3(b).</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color w:val="000000"/>
        </w:rPr>
      </w:pPr>
      <w:r>
        <w:rPr>
          <w:color w:val="000000"/>
        </w:rPr>
        <w:t>“</w:t>
      </w:r>
      <w:r>
        <w:rPr>
          <w:rFonts w:ascii="Times New Roman;Times;serif" w:hAnsi="Times New Roman;Times;serif"/>
          <w:color w:val="000000"/>
          <w:sz w:val="20"/>
          <w:u w:val="single"/>
        </w:rPr>
        <w:t>Purchaser Party</w:t>
      </w:r>
      <w:r>
        <w:rPr>
          <w:rFonts w:ascii="Times New Roman;Times;serif" w:hAnsi="Times New Roman;Times;serif"/>
          <w:color w:val="000000"/>
          <w:sz w:val="20"/>
        </w:rPr>
        <w:t>” shall have the meaning ascribed to such term in Section 4.10.</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color w:val="000000"/>
        </w:rPr>
      </w:pPr>
      <w:r>
        <w:rPr>
          <w:color w:val="000000"/>
        </w:rPr>
        <w:t>“</w:t>
      </w:r>
      <w:r>
        <w:rPr>
          <w:rFonts w:ascii="Times New Roman;Times;serif" w:hAnsi="Times New Roman;Times;serif"/>
          <w:color w:val="000000"/>
          <w:sz w:val="20"/>
          <w:u w:val="single"/>
        </w:rPr>
        <w:t>Required Approvals</w:t>
      </w:r>
      <w:r>
        <w:rPr>
          <w:rFonts w:ascii="Times New Roman;Times;serif" w:hAnsi="Times New Roman;Times;serif"/>
          <w:color w:val="000000"/>
          <w:sz w:val="20"/>
        </w:rPr>
        <w:t>” shall have the meaning ascribed to such term in Section 3.1(e).</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color w:val="000000"/>
        </w:rPr>
      </w:pPr>
      <w:r>
        <w:rPr>
          <w:color w:val="000000"/>
        </w:rPr>
        <w:t>“</w:t>
      </w:r>
      <w:r>
        <w:rPr>
          <w:rFonts w:ascii="Times New Roman;Times;serif" w:hAnsi="Times New Roman;Times;serif"/>
          <w:color w:val="000000"/>
          <w:sz w:val="20"/>
          <w:u w:val="single"/>
        </w:rPr>
        <w:t>Required Minimum</w:t>
      </w:r>
      <w:r>
        <w:rPr>
          <w:rFonts w:ascii="Times New Roman;Times;serif" w:hAnsi="Times New Roman;Times;serif"/>
          <w:color w:val="000000"/>
          <w:sz w:val="20"/>
        </w:rPr>
        <w:t>” means, as of any date, 100% of the maximum aggregate number of Ordinary Shares then issued or potentially issuable in the future pursuant to the Transaction Documents, including any Underlying Shares issuable upon conversion or exercise in full of all Notes, ignoring any conversion limits set forth therein.</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color w:val="000000"/>
        </w:rPr>
      </w:pPr>
      <w:r>
        <w:rPr>
          <w:color w:val="000000"/>
        </w:rPr>
        <w:t>“</w:t>
      </w:r>
      <w:r>
        <w:rPr>
          <w:rFonts w:ascii="Times New Roman;Times;serif" w:hAnsi="Times New Roman;Times;serif"/>
          <w:color w:val="000000"/>
          <w:sz w:val="20"/>
          <w:u w:val="single"/>
        </w:rPr>
        <w:t>ReWalk Unit Sales</w:t>
      </w:r>
      <w:r>
        <w:rPr>
          <w:rFonts w:ascii="Times New Roman;Times;serif" w:hAnsi="Times New Roman;Times;serif"/>
          <w:color w:val="000000"/>
          <w:sz w:val="20"/>
        </w:rPr>
        <w:t>” means revenue recognized in accordance with GAAP by the Company from the sale of its ReWalk Personal and ReWalk Rehabilitation Exoskeleton devices.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color w:val="000000"/>
        </w:rPr>
      </w:pPr>
      <w:r>
        <w:rPr>
          <w:color w:val="000000"/>
        </w:rPr>
        <w:t>“</w:t>
      </w:r>
      <w:r>
        <w:rPr>
          <w:rFonts w:ascii="Times New Roman;Times;serif" w:hAnsi="Times New Roman;Times;serif"/>
          <w:color w:val="000000"/>
          <w:sz w:val="20"/>
          <w:u w:val="single"/>
        </w:rPr>
        <w:t>Rule 144</w:t>
      </w:r>
      <w:r>
        <w:rPr>
          <w:rFonts w:ascii="Times New Roman;Times;serif" w:hAnsi="Times New Roman;Times;serif"/>
          <w:color w:val="000000"/>
          <w:sz w:val="20"/>
        </w:rPr>
        <w:t>” means Rule 144 promulgated by the Commission pursuant to the Securities Act, as such Rule may be amended or interpreted from time to time, or any similar rule or regulation hereafter adopted by the Commission having substantially the same purpose and effect as such Rule.</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color w:val="000000"/>
        </w:rPr>
      </w:pPr>
      <w:r>
        <w:rPr>
          <w:color w:val="000000"/>
        </w:rPr>
        <w:t>“</w:t>
      </w:r>
      <w:r>
        <w:rPr>
          <w:rFonts w:ascii="Times New Roman;Times;serif" w:hAnsi="Times New Roman;Times;serif"/>
          <w:color w:val="000000"/>
          <w:sz w:val="20"/>
          <w:u w:val="single"/>
        </w:rPr>
        <w:t>SEC Reports</w:t>
      </w:r>
      <w:r>
        <w:rPr>
          <w:rFonts w:ascii="Times New Roman;Times;serif" w:hAnsi="Times New Roman;Times;serif"/>
          <w:color w:val="000000"/>
          <w:sz w:val="20"/>
        </w:rPr>
        <w:t>” shall have the meaning ascribed to such term in Section 3.1(h).</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color w:val="000000"/>
        </w:rPr>
      </w:pPr>
      <w:r>
        <w:rPr>
          <w:color w:val="000000"/>
        </w:rPr>
        <w:t>“</w:t>
      </w:r>
      <w:r>
        <w:rPr>
          <w:rFonts w:ascii="Times New Roman;Times;serif" w:hAnsi="Times New Roman;Times;serif"/>
          <w:color w:val="000000"/>
          <w:sz w:val="20"/>
          <w:u w:val="single"/>
        </w:rPr>
        <w:t>Securities</w:t>
      </w:r>
      <w:r>
        <w:rPr>
          <w:rFonts w:ascii="Times New Roman;Times;serif" w:hAnsi="Times New Roman;Times;serif"/>
          <w:color w:val="000000"/>
          <w:sz w:val="20"/>
        </w:rPr>
        <w:t>” means the Notes, the Warrants and the Underlying Shares.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color w:val="000000"/>
        </w:rPr>
      </w:pPr>
      <w:r>
        <w:rPr>
          <w:color w:val="000000"/>
        </w:rPr>
        <w:t>“</w:t>
      </w:r>
      <w:r>
        <w:rPr>
          <w:rFonts w:ascii="Times New Roman;Times;serif" w:hAnsi="Times New Roman;Times;serif"/>
          <w:color w:val="000000"/>
          <w:sz w:val="20"/>
          <w:u w:val="single"/>
        </w:rPr>
        <w:t>Securities Act</w:t>
      </w:r>
      <w:r>
        <w:rPr>
          <w:rFonts w:ascii="Times New Roman;Times;serif" w:hAnsi="Times New Roman;Times;serif"/>
          <w:color w:val="000000"/>
          <w:sz w:val="20"/>
        </w:rPr>
        <w:t>” means the Securities Act of 1933, as amended, and the rules and regulations promulgated thereunder.</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color w:val="000000"/>
        </w:rPr>
      </w:pPr>
      <w:r>
        <w:rPr>
          <w:color w:val="000000"/>
        </w:rPr>
        <w:t>“</w:t>
      </w:r>
      <w:r>
        <w:rPr>
          <w:rFonts w:ascii="Times New Roman;Times;serif" w:hAnsi="Times New Roman;Times;serif"/>
          <w:color w:val="000000"/>
          <w:sz w:val="20"/>
          <w:u w:val="single"/>
        </w:rPr>
        <w:t>Security Agreement</w:t>
      </w:r>
      <w:r>
        <w:rPr>
          <w:rFonts w:ascii="Times New Roman;Times;serif" w:hAnsi="Times New Roman;Times;serif"/>
          <w:color w:val="000000"/>
          <w:sz w:val="20"/>
        </w:rPr>
        <w:t>” means the Amended and Restated Security and Pledge Agreement, to be entered into by and among the Company and the Agent prior to the Initial Closing, in a form satisfactory to the Company and each Purchaser.</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color w:val="000000"/>
        </w:rPr>
      </w:pPr>
      <w:r>
        <w:rPr>
          <w:color w:val="000000"/>
        </w:rPr>
        <w:t>“</w:t>
      </w:r>
      <w:r>
        <w:rPr>
          <w:rFonts w:ascii="Times New Roman;Times;serif" w:hAnsi="Times New Roman;Times;serif"/>
          <w:color w:val="000000"/>
          <w:sz w:val="20"/>
          <w:u w:val="single"/>
        </w:rPr>
        <w:t>Security Documents</w:t>
      </w:r>
      <w:r>
        <w:rPr>
          <w:rFonts w:ascii="Times New Roman;Times;serif" w:hAnsi="Times New Roman;Times;serif"/>
          <w:color w:val="000000"/>
          <w:sz w:val="20"/>
        </w:rPr>
        <w:t>” shall mean, collectively, the Security Agreement, and any other documents and filings required thereunder in order to grant the Purchasers a valid and enforceable first priority (subject to Permitted Liens) security interest in the assets of the Company as provided in the Security Agreement.</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color w:val="000000"/>
        </w:rPr>
      </w:pPr>
      <w:r>
        <w:rPr>
          <w:color w:val="000000"/>
        </w:rPr>
        <w:t>“</w:t>
      </w:r>
      <w:r>
        <w:rPr>
          <w:rFonts w:ascii="Times New Roman;Times;serif" w:hAnsi="Times New Roman;Times;serif"/>
          <w:color w:val="000000"/>
          <w:sz w:val="20"/>
          <w:u w:val="single"/>
        </w:rPr>
        <w:t>Shareholder Approval</w:t>
      </w:r>
      <w:r>
        <w:rPr>
          <w:rFonts w:ascii="Times New Roman;Times;serif" w:hAnsi="Times New Roman;Times;serif"/>
          <w:color w:val="000000"/>
          <w:sz w:val="20"/>
        </w:rPr>
        <w:t>” means such approval as may be required by the applicable rules and regulations of the Nasdaq Stock Market (or any successor entity) and the Companies Law from the shareholders of the Company with respect to the transactions contemplated by the Transaction Documents, including, but not limited to, the issuance of all of the Underlying Shares in excess of 19.99% of the issued and outstanding Ordinary Shares on the applicable Closing Date.</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color w:val="000000"/>
        </w:rPr>
      </w:pPr>
      <w:r>
        <w:rPr>
          <w:color w:val="000000"/>
        </w:rPr>
        <w:t>“</w:t>
      </w:r>
      <w:r>
        <w:rPr>
          <w:rFonts w:ascii="Times New Roman;Times;serif" w:hAnsi="Times New Roman;Times;serif"/>
          <w:color w:val="000000"/>
          <w:sz w:val="20"/>
          <w:u w:val="single"/>
        </w:rPr>
        <w:t>Short Sales</w:t>
      </w:r>
      <w:r>
        <w:rPr>
          <w:rFonts w:ascii="Times New Roman;Times;serif" w:hAnsi="Times New Roman;Times;serif"/>
          <w:color w:val="000000"/>
          <w:sz w:val="20"/>
        </w:rPr>
        <w:t>” means all “short sales” as defined in Rule 200 of Regulation SHO under the Exchange Act (but shall not be deemed to include locating and/or borrowing Ordinary Shares).</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6</w:t>
      </w:r>
    </w:p>
    <w:p>
      <w:pPr>
        <w:pStyle w:val="HorizontalLine"/>
        <w:pBdr>
          <w:bottom w:val="single" w:sz="12" w:space="0" w:color="808080"/>
        </w:pBdr>
        <w:bidi w:val="0"/>
        <w:spacing w:before="200" w:after="200"/>
        <w:jc w:val="left"/>
        <w:rPr/>
      </w:pPr>
      <w:r>
        <w:rPr/>
      </w:r>
    </w:p>
    <w:p>
      <w:pPr>
        <w:pStyle w:val="TextBody"/>
        <w:bidi w:val="0"/>
        <w:spacing w:lineRule="auto" w:line="300" w:before="0" w:after="0"/>
        <w:ind w:left="720" w:right="0" w:firstLine="720"/>
        <w:jc w:val="both"/>
        <w:rPr>
          <w:color w:val="000000"/>
        </w:rPr>
      </w:pPr>
      <w:r>
        <w:rPr>
          <w:color w:val="000000"/>
        </w:rPr>
        <w:t>“</w:t>
      </w:r>
      <w:r>
        <w:rPr>
          <w:rFonts w:ascii="Times New Roman;Times;serif" w:hAnsi="Times New Roman;Times;serif"/>
          <w:color w:val="000000"/>
          <w:sz w:val="20"/>
          <w:u w:val="single"/>
        </w:rPr>
        <w:t>Subscription Amount</w:t>
      </w:r>
      <w:r>
        <w:rPr>
          <w:rFonts w:ascii="Times New Roman;Times;serif" w:hAnsi="Times New Roman;Times;serif"/>
          <w:color w:val="000000"/>
          <w:sz w:val="20"/>
        </w:rPr>
        <w:t>” means each of the Initial Subscription Amount and Additional Subscription Amount.</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color w:val="000000"/>
        </w:rPr>
      </w:pPr>
      <w:r>
        <w:rPr>
          <w:color w:val="000000"/>
        </w:rPr>
        <w:t>“</w:t>
      </w:r>
      <w:r>
        <w:rPr>
          <w:rFonts w:ascii="Times New Roman;Times;serif" w:hAnsi="Times New Roman;Times;serif"/>
          <w:color w:val="000000"/>
          <w:sz w:val="20"/>
          <w:u w:val="single"/>
        </w:rPr>
        <w:t>Subsidiary</w:t>
      </w:r>
      <w:r>
        <w:rPr>
          <w:rFonts w:ascii="Times New Roman;Times;serif" w:hAnsi="Times New Roman;Times;serif"/>
          <w:color w:val="000000"/>
          <w:sz w:val="20"/>
        </w:rPr>
        <w:t>” means, as to any Person, a corporation, partnership, exempted limited partnership, exempted company, limited liability company or other entity of which shares of stock or other ownership interests having ordinary voting power (other than stock or such other ownership interests having such power only by reason of the happening of a contingency) to elect a majority of the board of directors or other managers of such corporation, partnership, exempted limited partnership, exempted company, or other entity are at the time owned, or the management of which is otherwise controlled, directly or indirectly through one or more intermediaries, or both, by such Person. Unless otherwise qualified, all references to a “Subsidiary” or to “Subsidiaries” in the Transaction Documents shall refer to a direct or indirect Subsidiary or Subsidiaries of the Company.</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color w:val="000000"/>
        </w:rPr>
      </w:pPr>
      <w:r>
        <w:rPr>
          <w:color w:val="000000"/>
        </w:rPr>
        <w:t>“</w:t>
      </w:r>
      <w:r>
        <w:rPr>
          <w:rFonts w:ascii="Times New Roman;Times;serif" w:hAnsi="Times New Roman;Times;serif"/>
          <w:color w:val="000000"/>
          <w:sz w:val="20"/>
          <w:u w:val="single"/>
        </w:rPr>
        <w:t>Trading Day</w:t>
      </w:r>
      <w:r>
        <w:rPr>
          <w:rFonts w:ascii="Times New Roman;Times;serif" w:hAnsi="Times New Roman;Times;serif"/>
          <w:color w:val="000000"/>
          <w:sz w:val="20"/>
        </w:rPr>
        <w:t>” means a day on which the principal Trading Market is open for trading.</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color w:val="000000"/>
        </w:rPr>
      </w:pPr>
      <w:r>
        <w:rPr>
          <w:color w:val="000000"/>
        </w:rPr>
        <w:t>“</w:t>
      </w:r>
      <w:r>
        <w:rPr>
          <w:rFonts w:ascii="Times New Roman;Times;serif" w:hAnsi="Times New Roman;Times;serif"/>
          <w:color w:val="000000"/>
          <w:sz w:val="20"/>
          <w:u w:val="single"/>
        </w:rPr>
        <w:t>Trading Market</w:t>
      </w:r>
      <w:r>
        <w:rPr>
          <w:rFonts w:ascii="Times New Roman;Times;serif" w:hAnsi="Times New Roman;Times;serif"/>
          <w:color w:val="000000"/>
          <w:sz w:val="20"/>
        </w:rPr>
        <w:t>” means any of the following markets or exchanges on which the Ordinary Shares are listed or quoted for trading on the date in question: the New York Stock Exchange, the NYSE American, the Nasdaq Capital Market, the Nasdaq Global Market, the Nasdaq Global Select Market, OTCQB Venture Market or OTCQX Best Market and any successors to any of the foregoing.</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color w:val="000000"/>
        </w:rPr>
      </w:pPr>
      <w:r>
        <w:rPr>
          <w:color w:val="000000"/>
        </w:rPr>
        <w:t>“</w:t>
      </w:r>
      <w:r>
        <w:rPr>
          <w:rFonts w:ascii="Times New Roman;Times;serif" w:hAnsi="Times New Roman;Times;serif"/>
          <w:color w:val="000000"/>
          <w:sz w:val="20"/>
          <w:u w:val="single"/>
        </w:rPr>
        <w:t>Transaction Documents</w:t>
      </w:r>
      <w:r>
        <w:rPr>
          <w:rFonts w:ascii="Times New Roman;Times;serif" w:hAnsi="Times New Roman;Times;serif"/>
          <w:color w:val="000000"/>
          <w:sz w:val="20"/>
        </w:rPr>
        <w:t>” means this Agreement, the Notes, the Warrants, the Security Agreement, all exhibits and schedules thereto and hereto and any other documents or agreements executed by the Company in connection with the transactions contemplated hereunder.</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color w:val="000000"/>
        </w:rPr>
      </w:pPr>
      <w:r>
        <w:rPr>
          <w:color w:val="000000"/>
        </w:rPr>
        <w:t>“</w:t>
      </w:r>
      <w:r>
        <w:rPr>
          <w:rFonts w:ascii="Times New Roman;Times;serif" w:hAnsi="Times New Roman;Times;serif"/>
          <w:color w:val="000000"/>
          <w:sz w:val="20"/>
          <w:u w:val="single"/>
        </w:rPr>
        <w:t>Transfer Agent</w:t>
      </w:r>
      <w:r>
        <w:rPr>
          <w:rFonts w:ascii="Times New Roman;Times;serif" w:hAnsi="Times New Roman;Times;serif"/>
          <w:color w:val="000000"/>
          <w:sz w:val="20"/>
        </w:rPr>
        <w:t>” means Equiniti Trust Company, LLC, the current transfer agent of the Company, with a mailing address of 6201 15th Avenue, Brooklyn, New York 11219, and any successor transfer agent of the Company.</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color w:val="000000"/>
        </w:rPr>
      </w:pPr>
      <w:r>
        <w:rPr>
          <w:color w:val="000000"/>
        </w:rPr>
        <w:t>“</w:t>
      </w:r>
      <w:r>
        <w:rPr>
          <w:rFonts w:ascii="Times New Roman;Times;serif" w:hAnsi="Times New Roman;Times;serif"/>
          <w:color w:val="000000"/>
          <w:sz w:val="20"/>
          <w:u w:val="single"/>
        </w:rPr>
        <w:t>Underlying Shares</w:t>
      </w:r>
      <w:r>
        <w:rPr>
          <w:rFonts w:ascii="Times New Roman;Times;serif" w:hAnsi="Times New Roman;Times;serif"/>
          <w:color w:val="000000"/>
          <w:sz w:val="20"/>
        </w:rPr>
        <w:t>” means the Conversion Shares and the Warrant Shares.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color w:val="000000"/>
        </w:rPr>
      </w:pPr>
      <w:r>
        <w:rPr>
          <w:color w:val="000000"/>
        </w:rPr>
        <w:t>“</w:t>
      </w:r>
      <w:r>
        <w:rPr>
          <w:rFonts w:ascii="Times New Roman;Times;serif" w:hAnsi="Times New Roman;Times;serif"/>
          <w:color w:val="000000"/>
          <w:sz w:val="20"/>
          <w:u w:val="single"/>
        </w:rPr>
        <w:t>VWAP</w:t>
      </w:r>
      <w:r>
        <w:rPr>
          <w:rFonts w:ascii="Times New Roman;Times;serif" w:hAnsi="Times New Roman;Times;serif"/>
          <w:color w:val="000000"/>
          <w:sz w:val="20"/>
        </w:rPr>
        <w:t>” means, for any date, the price determined by the first of the following clauses that applies: (a) if the Ordinary Shares are then listed or quoted on a Trading Market, the daily volume weighted average price of the Ordinary Shares for such date (or the nearest preceding date) on the Trading Market on which the Ordinary Shares are then listed or quoted as reported by Bloomberg L.P. (based on a Trading Day from 9:30 a.m. (New York City time) to 4:02 p.m. (New York City time)), (b) if OTCQB Venture Market (“</w:t>
      </w:r>
      <w:r>
        <w:rPr>
          <w:rFonts w:ascii="Times New Roman;Times;serif" w:hAnsi="Times New Roman;Times;serif"/>
          <w:color w:val="000000"/>
          <w:sz w:val="20"/>
          <w:u w:val="single"/>
        </w:rPr>
        <w:t>OTCQB</w:t>
      </w:r>
      <w:r>
        <w:rPr>
          <w:rFonts w:ascii="Times New Roman;Times;serif" w:hAnsi="Times New Roman;Times;serif"/>
          <w:color w:val="000000"/>
          <w:sz w:val="20"/>
        </w:rPr>
        <w:t>”) or OTCQX Best Market (“</w:t>
      </w:r>
      <w:r>
        <w:rPr>
          <w:rFonts w:ascii="Times New Roman;Times;serif" w:hAnsi="Times New Roman;Times;serif"/>
          <w:color w:val="000000"/>
          <w:sz w:val="20"/>
          <w:u w:val="single"/>
        </w:rPr>
        <w:t>OTCQX</w:t>
      </w:r>
      <w:r>
        <w:rPr>
          <w:rFonts w:ascii="Times New Roman;Times;serif" w:hAnsi="Times New Roman;Times;serif"/>
          <w:color w:val="000000"/>
          <w:sz w:val="20"/>
        </w:rPr>
        <w:t>”) is not a Trading Market, the volume weighted average price of the Ordinary Shares for such date (or the nearest preceding date) on OTCQB or OTCQX as applicable, (c) if the Ordinary Shares are not then listed or quoted for trading on OTCQB or OTCQX and if prices for the Ordinary Shares are then reported on the Pink Open Market operated by OTC Markets, Inc. (or a similar organization or agency succeeding to its functions of reporting prices), the most recent bid price per Ordinary Share so reported, or (d) in all other cases, the fair market value of an Ordinary Share as determined by an independent appraiser selected in good faith by the Purchasers of a majority in interest of the Securities then outstanding and reasonably acceptable to the Company, the fees and expenses of which shall be paid by the Company.</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color w:val="000000"/>
        </w:rPr>
      </w:pPr>
      <w:r>
        <w:rPr>
          <w:color w:val="000000"/>
        </w:rPr>
        <w:t>“</w:t>
      </w:r>
      <w:r>
        <w:rPr>
          <w:rFonts w:ascii="Times New Roman;Times;serif" w:hAnsi="Times New Roman;Times;serif"/>
          <w:color w:val="000000"/>
          <w:sz w:val="20"/>
          <w:u w:val="single"/>
        </w:rPr>
        <w:t>Warrants</w:t>
      </w:r>
      <w:r>
        <w:rPr>
          <w:rFonts w:ascii="Times New Roman;Times;serif" w:hAnsi="Times New Roman;Times;serif"/>
          <w:color w:val="000000"/>
          <w:sz w:val="20"/>
        </w:rPr>
        <w:t>” means the Initial Warrants and the Additional Warrants.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color w:val="000000"/>
        </w:rPr>
      </w:pPr>
      <w:r>
        <w:rPr>
          <w:color w:val="000000"/>
        </w:rPr>
        <w:t>“</w:t>
      </w:r>
      <w:r>
        <w:rPr>
          <w:rFonts w:ascii="Times New Roman;Times;serif" w:hAnsi="Times New Roman;Times;serif"/>
          <w:color w:val="000000"/>
          <w:sz w:val="20"/>
          <w:u w:val="single"/>
        </w:rPr>
        <w:t>Warrant Shares</w:t>
      </w:r>
      <w:r>
        <w:rPr>
          <w:rFonts w:ascii="Times New Roman;Times;serif" w:hAnsi="Times New Roman;Times;serif"/>
          <w:color w:val="000000"/>
          <w:sz w:val="20"/>
        </w:rPr>
        <w:t>” means the Ordinary Shares issued and issuable pursuant to the terms of the Warrants, without respect to any limitation or restriction on the exercise of the Warrants.</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7</w:t>
      </w:r>
    </w:p>
    <w:p>
      <w:pPr>
        <w:pStyle w:val="HorizontalLine"/>
        <w:pBdr>
          <w:bottom w:val="single" w:sz="12" w:space="0" w:color="808080"/>
        </w:pBdr>
        <w:bidi w:val="0"/>
        <w:spacing w:before="200" w:after="200"/>
        <w:jc w:val="left"/>
        <w:rPr/>
      </w:pPr>
      <w:r>
        <w:rPr/>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ARTICLE II.</w:t>
        <w:br/>
        <w:t>PURCHASE AND SALE</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2.1          </w:t>
      </w:r>
      <w:r>
        <w:rPr>
          <w:rFonts w:ascii="Times New Roman;Times;serif" w:hAnsi="Times New Roman;Times;serif"/>
          <w:color w:val="000000"/>
          <w:sz w:val="20"/>
          <w:u w:val="single"/>
        </w:rPr>
        <w:t>Initial Closing</w:t>
      </w:r>
      <w:r>
        <w:rPr>
          <w:rFonts w:ascii="Times New Roman;Times;serif" w:hAnsi="Times New Roman;Times;serif"/>
          <w:color w:val="000000"/>
          <w:sz w:val="20"/>
        </w:rPr>
        <w:t>. On the Initial Closing Date, upon the terms and subject to the conditions set forth herein, substantially concurrent with the execution and delivery of this Agreement by the parties hereto, the Company agrees to sell, and the Purchasers, severally and not jointly, agree to purchase, the Initial Notes and the Initial Warrants for an aggregate Initial Subscription Amount equal to $5,580,000.00. Each Purchaser shall purchase an Initial Note in the Initial Note Principal Amount, and Initial Warrants to purchase the number of Warrant Shares, against payment of the Initial Subscription Amount, all as set forth below such Purchaser’s signature block on the signature pages hereto. Upon satisfaction of the covenants and conditions set forth in Sections 2.3 and 2.4, the Initial Closing shall take place remotely by electronic transfer of the Initial Closing documentation.</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2.2          </w:t>
      </w:r>
      <w:r>
        <w:rPr>
          <w:rFonts w:ascii="Times New Roman;Times;serif" w:hAnsi="Times New Roman;Times;serif"/>
          <w:color w:val="000000"/>
          <w:sz w:val="20"/>
          <w:u w:val="single"/>
        </w:rPr>
        <w:t>Additional Closing</w:t>
      </w:r>
      <w:r>
        <w:rPr>
          <w:rFonts w:ascii="Times New Roman;Times;serif" w:hAnsi="Times New Roman;Times;serif"/>
          <w:color w:val="000000"/>
          <w:sz w:val="20"/>
        </w:rPr>
        <w:t xml:space="preserve">. On the Additional Closing Date (if any), upon the terms and subject to the conditions set forth herein, the Company agrees to sell, and the Purchasers, severally and not jointly, agree to purchase, an aggregate Additional Subscription Amount of $5,580,000.00 of the Additional Notes and the Additional Warrants. Each Purchaser shall purchase an Additional Note in the Additional Note Principal Amount, and Additional Warrants to purchase the number of Warrant Shares, against payment of the Additional Subscription Amount, all as set forth below such Purchaser’s signature block on the signature pages hereto. The Company shall give each Purchaser </w:t>
      </w:r>
      <w:r>
        <w:rPr>
          <w:rFonts w:ascii="Times New Roman;Times;serif" w:hAnsi="Times New Roman;Times;serif"/>
          <w:i/>
          <w:color w:val="000000"/>
          <w:sz w:val="20"/>
        </w:rPr>
        <w:t>not less than</w:t>
      </w:r>
      <w:r>
        <w:rPr>
          <w:rFonts w:ascii="Times New Roman;Times;serif" w:hAnsi="Times New Roman;Times;serif"/>
          <w:color w:val="000000"/>
          <w:sz w:val="20"/>
        </w:rPr>
        <w:t xml:space="preserve"> five (5) Trading Days’ written notice upon satisfaction of the covenants and conditions set forth in Sections 2.5 and 2.6 (such date the covenants and conditions are satisfied, the “</w:t>
      </w:r>
      <w:r>
        <w:rPr>
          <w:rFonts w:ascii="Times New Roman;Times;serif" w:hAnsi="Times New Roman;Times;serif"/>
          <w:color w:val="000000"/>
          <w:sz w:val="20"/>
          <w:u w:val="single"/>
        </w:rPr>
        <w:t>Additional Closing Satisfaction Date</w:t>
      </w:r>
      <w:r>
        <w:rPr>
          <w:rFonts w:ascii="Times New Roman;Times;serif" w:hAnsi="Times New Roman;Times;serif"/>
          <w:color w:val="000000"/>
          <w:sz w:val="20"/>
        </w:rPr>
        <w:t>”). On the date that is thirty (30) calendar days following the Additional Closing Satisfaction Date, the Additional Closing shall take place remotely by electronic transfer of the Additional Closing documentation (such date, the “</w:t>
      </w:r>
      <w:r>
        <w:rPr>
          <w:rFonts w:ascii="Times New Roman;Times;serif" w:hAnsi="Times New Roman;Times;serif"/>
          <w:color w:val="000000"/>
          <w:sz w:val="20"/>
          <w:u w:val="single"/>
        </w:rPr>
        <w:t>Additional Closing Date</w:t>
      </w:r>
      <w:r>
        <w:rPr>
          <w:rFonts w:ascii="Times New Roman;Times;serif" w:hAnsi="Times New Roman;Times;serif"/>
          <w:color w:val="000000"/>
          <w:sz w:val="20"/>
        </w:rPr>
        <w:t>”).</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2.3          </w:t>
      </w:r>
      <w:r>
        <w:rPr>
          <w:rFonts w:ascii="Times New Roman;Times;serif" w:hAnsi="Times New Roman;Times;serif"/>
          <w:color w:val="000000"/>
          <w:sz w:val="20"/>
          <w:u w:val="single"/>
        </w:rPr>
        <w:t>Initial Closing Deliveries</w:t>
      </w:r>
      <w:r>
        <w:rPr>
          <w:rFonts w:ascii="Times New Roman;Times;serif" w:hAnsi="Times New Roman;Times;serif"/>
          <w:color w:val="000000"/>
          <w:sz w:val="20"/>
        </w:rPr>
        <w:t>.</w:t>
      </w:r>
    </w:p>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126" w:name="zbb6f4897733c486fb00443d1c26b896d"/>
      <w:bookmarkStart w:id="127" w:name="zbb6f4897733c486fb00443d1c26b896d"/>
      <w:bookmarkEnd w:id="127"/>
    </w:p>
    <w:tbl>
      <w:tblPr>
        <w:tblW w:w="10205" w:type="dxa"/>
        <w:jc w:val="left"/>
        <w:tblInd w:w="0" w:type="dxa"/>
        <w:tblLayout w:type="fixed"/>
        <w:tblCellMar>
          <w:top w:w="0" w:type="dxa"/>
          <w:left w:w="0" w:type="dxa"/>
          <w:bottom w:w="0" w:type="dxa"/>
          <w:right w:w="0" w:type="dxa"/>
        </w:tblCellMar>
      </w:tblPr>
      <w:tblGrid>
        <w:gridCol w:w="75"/>
        <w:gridCol w:w="229"/>
        <w:gridCol w:w="9901"/>
      </w:tblGrid>
      <w:tr>
        <w:trPr/>
        <w:tc>
          <w:tcPr>
            <w:tcW w:w="75"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(a)</w:t>
            </w:r>
          </w:p>
        </w:tc>
        <w:tc>
          <w:tcPr>
            <w:tcW w:w="9901"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On or prior to the Initial Closing Date, the Company shall deliver or cause to be delivered to each Purchaser the following:</w:t>
            </w:r>
          </w:p>
        </w:tc>
      </w:tr>
    </w:tbl>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128" w:name="z1bd5dfa6cacf46f5975ad83f8b7ed2a0"/>
      <w:bookmarkStart w:id="129" w:name="z1bd5dfa6cacf46f5975ad83f8b7ed2a0"/>
      <w:bookmarkEnd w:id="129"/>
    </w:p>
    <w:tbl>
      <w:tblPr>
        <w:tblW w:w="4158" w:type="dxa"/>
        <w:jc w:val="left"/>
        <w:tblInd w:w="0" w:type="dxa"/>
        <w:tblLayout w:type="fixed"/>
        <w:tblCellMar>
          <w:top w:w="0" w:type="dxa"/>
          <w:left w:w="0" w:type="dxa"/>
          <w:bottom w:w="0" w:type="dxa"/>
          <w:right w:w="0" w:type="dxa"/>
        </w:tblCellMar>
      </w:tblPr>
      <w:tblGrid>
        <w:gridCol w:w="38"/>
        <w:gridCol w:w="200"/>
        <w:gridCol w:w="3920"/>
      </w:tblGrid>
      <w:tr>
        <w:trPr/>
        <w:tc>
          <w:tcPr>
            <w:tcW w:w="38" w:type="dxa"/>
            <w:tcBorders/>
            <w:vAlign w:val="center"/>
          </w:tcPr>
          <w:p>
            <w:pPr>
              <w:pStyle w:val="TableContents"/>
              <w:bidi w:val="0"/>
              <w:spacing w:before="0" w:after="283"/>
              <w:jc w:val="left"/>
              <w:rPr/>
            </w:pPr>
            <w:r>
              <w:rPr/>
            </w:r>
          </w:p>
        </w:tc>
        <w:tc>
          <w:tcPr>
            <w:tcW w:w="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392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this Agreement duly executed by the Company;</w:t>
            </w:r>
          </w:p>
        </w:tc>
      </w:tr>
    </w:tbl>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130" w:name="z6ac58098c5604767a4dcee01ec01eea0"/>
      <w:bookmarkStart w:id="131" w:name="z6ac58098c5604767a4dcee01ec01eea0"/>
      <w:bookmarkEnd w:id="131"/>
    </w:p>
    <w:tbl>
      <w:tblPr>
        <w:tblW w:w="10205" w:type="dxa"/>
        <w:jc w:val="left"/>
        <w:tblInd w:w="0" w:type="dxa"/>
        <w:tblLayout w:type="fixed"/>
        <w:tblCellMar>
          <w:top w:w="0" w:type="dxa"/>
          <w:left w:w="0" w:type="dxa"/>
          <w:bottom w:w="0" w:type="dxa"/>
          <w:right w:w="0" w:type="dxa"/>
        </w:tblCellMar>
      </w:tblPr>
      <w:tblGrid>
        <w:gridCol w:w="38"/>
        <w:gridCol w:w="217"/>
        <w:gridCol w:w="9950"/>
      </w:tblGrid>
      <w:tr>
        <w:trPr/>
        <w:tc>
          <w:tcPr>
            <w:tcW w:w="38" w:type="dxa"/>
            <w:tcBorders/>
            <w:vAlign w:val="center"/>
          </w:tcPr>
          <w:p>
            <w:pPr>
              <w:pStyle w:val="TableContents"/>
              <w:bidi w:val="0"/>
              <w:spacing w:before="0" w:after="283"/>
              <w:jc w:val="left"/>
              <w:rPr/>
            </w:pPr>
            <w:r>
              <w:rPr/>
            </w:r>
          </w:p>
        </w:tc>
        <w:tc>
          <w:tcPr>
            <w:tcW w:w="21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995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an ink-original Initial Note with a principal amount equal to such Purchaser’s Initial Note Principal Amount, registered in the name of such Purchaser, provided that such ink-original Initial Note may be delivered promptly after such Initial Closing by the Company, in which case the Company will provide an electronically signed version of the Initial Note on or prior to the Initial Closing Date;</w:t>
            </w:r>
          </w:p>
        </w:tc>
      </w:tr>
    </w:tbl>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132" w:name="zcc12c44eaae843829eee73b67d939a83"/>
      <w:bookmarkStart w:id="133" w:name="zcc12c44eaae843829eee73b67d939a83"/>
      <w:bookmarkEnd w:id="133"/>
    </w:p>
    <w:tbl>
      <w:tblPr>
        <w:tblW w:w="10205" w:type="dxa"/>
        <w:jc w:val="left"/>
        <w:tblInd w:w="0" w:type="dxa"/>
        <w:tblLayout w:type="fixed"/>
        <w:tblCellMar>
          <w:top w:w="0" w:type="dxa"/>
          <w:left w:w="0" w:type="dxa"/>
          <w:bottom w:w="0" w:type="dxa"/>
          <w:right w:w="0" w:type="dxa"/>
        </w:tblCellMar>
      </w:tblPr>
      <w:tblGrid>
        <w:gridCol w:w="38"/>
        <w:gridCol w:w="273"/>
        <w:gridCol w:w="9894"/>
      </w:tblGrid>
      <w:tr>
        <w:trPr/>
        <w:tc>
          <w:tcPr>
            <w:tcW w:w="38" w:type="dxa"/>
            <w:tcBorders/>
            <w:vAlign w:val="center"/>
          </w:tcPr>
          <w:p>
            <w:pPr>
              <w:pStyle w:val="TableContents"/>
              <w:bidi w:val="0"/>
              <w:spacing w:before="0" w:after="283"/>
              <w:jc w:val="left"/>
              <w:rPr/>
            </w:pPr>
            <w:r>
              <w:rPr/>
            </w:r>
          </w:p>
        </w:tc>
        <w:tc>
          <w:tcPr>
            <w:tcW w:w="27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(iii)</w:t>
            </w:r>
          </w:p>
        </w:tc>
        <w:tc>
          <w:tcPr>
            <w:tcW w:w="989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an ink-original Initial Warrant registered in the name of such Purchaser to purchase the number of Ordinary Shares as set forth below such Purchaser’s signature block on the signature pages hereto next to the heading “Initial Warrant Shares”, provided that such ink-original Initial Warrant may be delivered promptly after such Initial Closing by the Company, in which case the Company will provide an electronically signed version of the Initial Warrant on or prior to the Initial Closing Date;</w:t>
            </w:r>
          </w:p>
        </w:tc>
      </w:tr>
    </w:tbl>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8</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134" w:name="zb2d78738474c4552902a1ef0766770c0"/>
      <w:bookmarkStart w:id="135" w:name="zb2d78738474c4552902a1ef0766770c0"/>
      <w:bookmarkEnd w:id="135"/>
    </w:p>
    <w:tbl>
      <w:tblPr>
        <w:tblW w:w="8343" w:type="dxa"/>
        <w:jc w:val="left"/>
        <w:tblInd w:w="0" w:type="dxa"/>
        <w:tblLayout w:type="fixed"/>
        <w:tblCellMar>
          <w:top w:w="0" w:type="dxa"/>
          <w:left w:w="0" w:type="dxa"/>
          <w:bottom w:w="0" w:type="dxa"/>
          <w:right w:w="0" w:type="dxa"/>
        </w:tblCellMar>
      </w:tblPr>
      <w:tblGrid>
        <w:gridCol w:w="38"/>
        <w:gridCol w:w="305"/>
        <w:gridCol w:w="8000"/>
      </w:tblGrid>
      <w:tr>
        <w:trPr/>
        <w:tc>
          <w:tcPr>
            <w:tcW w:w="38" w:type="dxa"/>
            <w:tcBorders/>
            <w:vAlign w:val="center"/>
          </w:tcPr>
          <w:p>
            <w:pPr>
              <w:pStyle w:val="TableContents"/>
              <w:bidi w:val="0"/>
              <w:spacing w:before="0" w:after="283"/>
              <w:jc w:val="left"/>
              <w:rPr/>
            </w:pPr>
            <w:r>
              <w:rPr/>
            </w:r>
          </w:p>
        </w:tc>
        <w:tc>
          <w:tcPr>
            <w:tcW w:w="3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(iv)</w:t>
            </w:r>
          </w:p>
        </w:tc>
        <w:tc>
          <w:tcPr>
            <w:tcW w:w="800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Security Agreement duly executed by the Company, along with all of the Security Documents;</w:t>
            </w:r>
          </w:p>
        </w:tc>
      </w:tr>
    </w:tbl>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136" w:name="za25569d48b8f45ceabc39a48a0f8585f"/>
      <w:bookmarkStart w:id="137" w:name="za25569d48b8f45ceabc39a48a0f8585f"/>
      <w:bookmarkEnd w:id="137"/>
    </w:p>
    <w:tbl>
      <w:tblPr>
        <w:tblW w:w="10205" w:type="dxa"/>
        <w:jc w:val="left"/>
        <w:tblInd w:w="0" w:type="dxa"/>
        <w:tblLayout w:type="fixed"/>
        <w:tblCellMar>
          <w:top w:w="0" w:type="dxa"/>
          <w:left w:w="0" w:type="dxa"/>
          <w:bottom w:w="0" w:type="dxa"/>
          <w:right w:w="0" w:type="dxa"/>
        </w:tblCellMar>
      </w:tblPr>
      <w:tblGrid>
        <w:gridCol w:w="38"/>
        <w:gridCol w:w="241"/>
        <w:gridCol w:w="9926"/>
      </w:tblGrid>
      <w:tr>
        <w:trPr/>
        <w:tc>
          <w:tcPr>
            <w:tcW w:w="38" w:type="dxa"/>
            <w:tcBorders/>
            <w:vAlign w:val="center"/>
          </w:tcPr>
          <w:p>
            <w:pPr>
              <w:pStyle w:val="TableContents"/>
              <w:bidi w:val="0"/>
              <w:spacing w:before="0" w:after="283"/>
              <w:jc w:val="left"/>
              <w:rPr/>
            </w:pPr>
            <w:r>
              <w:rPr/>
            </w:r>
          </w:p>
        </w:tc>
        <w:tc>
          <w:tcPr>
            <w:tcW w:w="2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w:t>
            </w:r>
          </w:p>
        </w:tc>
        <w:tc>
          <w:tcPr>
            <w:tcW w:w="992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Company’s wire instructions, on Company letterhead and executed by the Chief Executive Officer or Chief Financial Officer;</w:t>
            </w:r>
          </w:p>
        </w:tc>
      </w:tr>
    </w:tbl>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138" w:name="z7ed1ca90d81840728cfc84022f5564ae"/>
      <w:bookmarkStart w:id="139" w:name="z7ed1ca90d81840728cfc84022f5564ae"/>
      <w:bookmarkEnd w:id="139"/>
    </w:p>
    <w:tbl>
      <w:tblPr>
        <w:tblW w:w="10205" w:type="dxa"/>
        <w:jc w:val="left"/>
        <w:tblInd w:w="0" w:type="dxa"/>
        <w:tblLayout w:type="fixed"/>
        <w:tblCellMar>
          <w:top w:w="0" w:type="dxa"/>
          <w:left w:w="0" w:type="dxa"/>
          <w:bottom w:w="0" w:type="dxa"/>
          <w:right w:w="0" w:type="dxa"/>
        </w:tblCellMar>
      </w:tblPr>
      <w:tblGrid>
        <w:gridCol w:w="38"/>
        <w:gridCol w:w="289"/>
        <w:gridCol w:w="9878"/>
      </w:tblGrid>
      <w:tr>
        <w:trPr/>
        <w:tc>
          <w:tcPr>
            <w:tcW w:w="38" w:type="dxa"/>
            <w:tcBorders/>
            <w:vAlign w:val="center"/>
          </w:tcPr>
          <w:p>
            <w:pPr>
              <w:pStyle w:val="TableContents"/>
              <w:bidi w:val="0"/>
              <w:spacing w:before="0" w:after="283"/>
              <w:jc w:val="left"/>
              <w:rPr/>
            </w:pPr>
            <w:r>
              <w:rPr/>
            </w:r>
          </w:p>
        </w:tc>
        <w:tc>
          <w:tcPr>
            <w:tcW w:w="28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(vi)</w:t>
            </w:r>
          </w:p>
        </w:tc>
        <w:tc>
          <w:tcPr>
            <w:tcW w:w="987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legal opinions of Company U.S. Counsel and Company Israeli Counsel, directed to the Purchasers, in form and substance reasonably acceptable to the Purchasers;</w:t>
            </w:r>
          </w:p>
        </w:tc>
      </w:tr>
    </w:tbl>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140" w:name="za64939a8b2be45969ec809e6a2e0e5d1"/>
      <w:bookmarkStart w:id="141" w:name="za64939a8b2be45969ec809e6a2e0e5d1"/>
      <w:bookmarkEnd w:id="141"/>
    </w:p>
    <w:tbl>
      <w:tblPr>
        <w:tblW w:w="10205" w:type="dxa"/>
        <w:jc w:val="left"/>
        <w:tblInd w:w="0" w:type="dxa"/>
        <w:tblLayout w:type="fixed"/>
        <w:tblCellMar>
          <w:top w:w="0" w:type="dxa"/>
          <w:left w:w="0" w:type="dxa"/>
          <w:bottom w:w="0" w:type="dxa"/>
          <w:right w:w="0" w:type="dxa"/>
        </w:tblCellMar>
      </w:tblPr>
      <w:tblGrid>
        <w:gridCol w:w="38"/>
        <w:gridCol w:w="317"/>
        <w:gridCol w:w="9850"/>
      </w:tblGrid>
      <w:tr>
        <w:trPr/>
        <w:tc>
          <w:tcPr>
            <w:tcW w:w="38" w:type="dxa"/>
            <w:tcBorders/>
            <w:vAlign w:val="center"/>
          </w:tcPr>
          <w:p>
            <w:pPr>
              <w:pStyle w:val="TableContents"/>
              <w:bidi w:val="0"/>
              <w:spacing w:before="0" w:after="283"/>
              <w:jc w:val="left"/>
              <w:rPr/>
            </w:pPr>
            <w:r>
              <w:rPr/>
            </w:r>
          </w:p>
        </w:tc>
        <w:tc>
          <w:tcPr>
            <w:tcW w:w="31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(vii)</w:t>
            </w:r>
          </w:p>
        </w:tc>
        <w:tc>
          <w:tcPr>
            <w:tcW w:w="985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certificates, executed on behalf of the Company, dated as of the Initial Closing Date, certifying the resolutions adopted by the boards of directors of the Company approving the transactions contemplated by this Agreement and the other Transaction Documents, as applicable, certifying the current versions of the constitutional documents of the Company and certifying as to the signatures and authority of Persons signing this Agreement and the other Transaction Documents, as applicable, and related documents on behalf of the Company; and</w:t>
            </w:r>
          </w:p>
        </w:tc>
      </w:tr>
    </w:tbl>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142" w:name="zf4b0a1cc2c364a27abc9e866162d174e"/>
      <w:bookmarkStart w:id="143" w:name="zf4b0a1cc2c364a27abc9e866162d174e"/>
      <w:bookmarkEnd w:id="143"/>
    </w:p>
    <w:tbl>
      <w:tblPr>
        <w:tblW w:w="10205" w:type="dxa"/>
        <w:jc w:val="left"/>
        <w:tblInd w:w="0" w:type="dxa"/>
        <w:tblLayout w:type="fixed"/>
        <w:tblCellMar>
          <w:top w:w="0" w:type="dxa"/>
          <w:left w:w="0" w:type="dxa"/>
          <w:bottom w:w="0" w:type="dxa"/>
          <w:right w:w="0" w:type="dxa"/>
        </w:tblCellMar>
      </w:tblPr>
      <w:tblGrid>
        <w:gridCol w:w="38"/>
        <w:gridCol w:w="396"/>
        <w:gridCol w:w="9771"/>
      </w:tblGrid>
      <w:tr>
        <w:trPr/>
        <w:tc>
          <w:tcPr>
            <w:tcW w:w="38" w:type="dxa"/>
            <w:tcBorders/>
            <w:vAlign w:val="center"/>
          </w:tcPr>
          <w:p>
            <w:pPr>
              <w:pStyle w:val="TableContents"/>
              <w:bidi w:val="0"/>
              <w:spacing w:before="0" w:after="283"/>
              <w:jc w:val="left"/>
              <w:rPr/>
            </w:pPr>
            <w:r>
              <w:rPr/>
            </w:r>
          </w:p>
        </w:tc>
        <w:tc>
          <w:tcPr>
            <w:tcW w:w="3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(viii)</w:t>
            </w:r>
          </w:p>
        </w:tc>
        <w:tc>
          <w:tcPr>
            <w:tcW w:w="977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 certificate, executed on behalf of the Company by its Chief Executive Officer or its Chief Financial Officer, dated as of the Initial Closing Date, certifying to the fulfillment of the conditions specified in Section 2.4(b).</w:t>
            </w:r>
          </w:p>
        </w:tc>
      </w:tr>
    </w:tbl>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144" w:name="z0096afc34cd14a4cba4fb71eee196928"/>
      <w:bookmarkStart w:id="145" w:name="z0096afc34cd14a4cba4fb71eee196928"/>
      <w:bookmarkEnd w:id="145"/>
    </w:p>
    <w:tbl>
      <w:tblPr>
        <w:tblW w:w="10205" w:type="dxa"/>
        <w:jc w:val="left"/>
        <w:tblInd w:w="0" w:type="dxa"/>
        <w:tblLayout w:type="fixed"/>
        <w:tblCellMar>
          <w:top w:w="0" w:type="dxa"/>
          <w:left w:w="0" w:type="dxa"/>
          <w:bottom w:w="0" w:type="dxa"/>
          <w:right w:w="0" w:type="dxa"/>
        </w:tblCellMar>
      </w:tblPr>
      <w:tblGrid>
        <w:gridCol w:w="75"/>
        <w:gridCol w:w="237"/>
        <w:gridCol w:w="9893"/>
      </w:tblGrid>
      <w:tr>
        <w:trPr/>
        <w:tc>
          <w:tcPr>
            <w:tcW w:w="75"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(b)</w:t>
            </w:r>
          </w:p>
        </w:tc>
        <w:tc>
          <w:tcPr>
            <w:tcW w:w="9893"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On or prior to the Initial Closing Date, each Purchaser shall deliver or cause to be delivered to the Company, as applicable, the following:</w:t>
            </w:r>
          </w:p>
        </w:tc>
      </w:tr>
    </w:tbl>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146" w:name="z058fe7f7d1744ccf85a0229fd278c53c"/>
      <w:bookmarkStart w:id="147" w:name="z058fe7f7d1744ccf85a0229fd278c53c"/>
      <w:bookmarkEnd w:id="147"/>
    </w:p>
    <w:tbl>
      <w:tblPr>
        <w:tblW w:w="10205" w:type="dxa"/>
        <w:jc w:val="left"/>
        <w:tblInd w:w="0" w:type="dxa"/>
        <w:tblLayout w:type="fixed"/>
        <w:tblCellMar>
          <w:top w:w="0" w:type="dxa"/>
          <w:left w:w="0" w:type="dxa"/>
          <w:bottom w:w="0" w:type="dxa"/>
          <w:right w:w="0" w:type="dxa"/>
        </w:tblCellMar>
      </w:tblPr>
      <w:tblGrid>
        <w:gridCol w:w="38"/>
        <w:gridCol w:w="172"/>
        <w:gridCol w:w="9995"/>
      </w:tblGrid>
      <w:tr>
        <w:trPr/>
        <w:tc>
          <w:tcPr>
            <w:tcW w:w="38" w:type="dxa"/>
            <w:tcBorders/>
            <w:vAlign w:val="center"/>
          </w:tcPr>
          <w:p>
            <w:pPr>
              <w:pStyle w:val="TableContents"/>
              <w:bidi w:val="0"/>
              <w:spacing w:before="0" w:after="283"/>
              <w:jc w:val="left"/>
              <w:rPr/>
            </w:pPr>
            <w:r>
              <w:rPr/>
            </w:r>
          </w:p>
        </w:tc>
        <w:tc>
          <w:tcPr>
            <w:tcW w:w="17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999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immediately available funds, via wire transfer, equal to such Purchaser’s Subscription Amount with respect to the Initial Note and the Initial Warrants as set forth on the signature page hereto executed by such Purchaser;</w:t>
            </w:r>
          </w:p>
        </w:tc>
      </w:tr>
    </w:tbl>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148" w:name="z9797eff8131045bab83caf143938cf6a"/>
      <w:bookmarkStart w:id="149" w:name="z9797eff8131045bab83caf143938cf6a"/>
      <w:bookmarkEnd w:id="149"/>
    </w:p>
    <w:tbl>
      <w:tblPr>
        <w:tblW w:w="4668" w:type="dxa"/>
        <w:jc w:val="left"/>
        <w:tblInd w:w="0" w:type="dxa"/>
        <w:tblLayout w:type="fixed"/>
        <w:tblCellMar>
          <w:top w:w="0" w:type="dxa"/>
          <w:left w:w="0" w:type="dxa"/>
          <w:bottom w:w="0" w:type="dxa"/>
          <w:right w:w="0" w:type="dxa"/>
        </w:tblCellMar>
      </w:tblPr>
      <w:tblGrid>
        <w:gridCol w:w="38"/>
        <w:gridCol w:w="260"/>
        <w:gridCol w:w="4370"/>
      </w:tblGrid>
      <w:tr>
        <w:trPr/>
        <w:tc>
          <w:tcPr>
            <w:tcW w:w="38" w:type="dxa"/>
            <w:tcBorders/>
            <w:vAlign w:val="center"/>
          </w:tcPr>
          <w:p>
            <w:pPr>
              <w:pStyle w:val="TableContents"/>
              <w:bidi w:val="0"/>
              <w:spacing w:before="0" w:after="283"/>
              <w:jc w:val="left"/>
              <w:rPr/>
            </w:pPr>
            <w:r>
              <w:rPr/>
            </w:r>
          </w:p>
        </w:tc>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437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this Agreement duly executed by such Purchaser; and</w:t>
            </w:r>
          </w:p>
        </w:tc>
      </w:tr>
    </w:tbl>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150" w:name="z107c0092e936487ea86faa9f23538ca7"/>
      <w:bookmarkStart w:id="151" w:name="z107c0092e936487ea86faa9f23538ca7"/>
      <w:bookmarkEnd w:id="151"/>
    </w:p>
    <w:tbl>
      <w:tblPr>
        <w:tblW w:w="7413" w:type="dxa"/>
        <w:jc w:val="left"/>
        <w:tblInd w:w="0" w:type="dxa"/>
        <w:tblLayout w:type="fixed"/>
        <w:tblCellMar>
          <w:top w:w="0" w:type="dxa"/>
          <w:left w:w="0" w:type="dxa"/>
          <w:bottom w:w="0" w:type="dxa"/>
          <w:right w:w="0" w:type="dxa"/>
        </w:tblCellMar>
      </w:tblPr>
      <w:tblGrid>
        <w:gridCol w:w="38"/>
        <w:gridCol w:w="320"/>
        <w:gridCol w:w="7055"/>
      </w:tblGrid>
      <w:tr>
        <w:trPr/>
        <w:tc>
          <w:tcPr>
            <w:tcW w:w="38" w:type="dxa"/>
            <w:tcBorders/>
            <w:vAlign w:val="center"/>
          </w:tcPr>
          <w:p>
            <w:pPr>
              <w:pStyle w:val="TableContents"/>
              <w:bidi w:val="0"/>
              <w:spacing w:before="0" w:after="283"/>
              <w:jc w:val="left"/>
              <w:rPr/>
            </w:pPr>
            <w:r>
              <w:rPr/>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(iii)</w:t>
            </w:r>
          </w:p>
        </w:tc>
        <w:tc>
          <w:tcPr>
            <w:tcW w:w="705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Security Documents duly executed by such Purchaser and the Agent, as applicable.</w:t>
            </w:r>
          </w:p>
        </w:tc>
      </w:tr>
    </w:tbl>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9</w:t>
      </w:r>
    </w:p>
    <w:p>
      <w:pPr>
        <w:pStyle w:val="HorizontalLine"/>
        <w:pBdr>
          <w:bottom w:val="single" w:sz="12" w:space="0" w:color="808080"/>
        </w:pBdr>
        <w:bidi w:val="0"/>
        <w:spacing w:before="200" w:after="200"/>
        <w:jc w:val="left"/>
        <w:rPr/>
      </w:pPr>
      <w:r>
        <w:rPr/>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2.4          </w:t>
      </w:r>
      <w:r>
        <w:rPr>
          <w:rFonts w:ascii="Times New Roman;Times;serif" w:hAnsi="Times New Roman;Times;serif"/>
          <w:color w:val="000000"/>
          <w:sz w:val="20"/>
          <w:u w:val="single"/>
        </w:rPr>
        <w:t>Initial Closing Conditions</w:t>
      </w:r>
      <w:r>
        <w:rPr>
          <w:rFonts w:ascii="Times New Roman;Times;serif" w:hAnsi="Times New Roman;Times;serif"/>
          <w:color w:val="000000"/>
          <w:sz w:val="20"/>
        </w:rPr>
        <w:t>.</w:t>
      </w:r>
    </w:p>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152" w:name="z31f34a69bfc64b01912633a50f36b4de"/>
      <w:bookmarkStart w:id="153" w:name="z31f34a69bfc64b01912633a50f36b4de"/>
      <w:bookmarkEnd w:id="153"/>
    </w:p>
    <w:tbl>
      <w:tblPr>
        <w:tblW w:w="10205" w:type="dxa"/>
        <w:jc w:val="left"/>
        <w:tblInd w:w="0" w:type="dxa"/>
        <w:tblLayout w:type="fixed"/>
        <w:tblCellMar>
          <w:top w:w="0" w:type="dxa"/>
          <w:left w:w="0" w:type="dxa"/>
          <w:bottom w:w="0" w:type="dxa"/>
          <w:right w:w="0" w:type="dxa"/>
        </w:tblCellMar>
      </w:tblPr>
      <w:tblGrid>
        <w:gridCol w:w="38"/>
        <w:gridCol w:w="225"/>
        <w:gridCol w:w="9942"/>
      </w:tblGrid>
      <w:tr>
        <w:trPr/>
        <w:tc>
          <w:tcPr>
            <w:tcW w:w="38" w:type="dxa"/>
            <w:tcBorders/>
            <w:vAlign w:val="center"/>
          </w:tcPr>
          <w:p>
            <w:pPr>
              <w:pStyle w:val="TableContents"/>
              <w:bidi w:val="0"/>
              <w:spacing w:before="0" w:after="283"/>
              <w:jc w:val="left"/>
              <w:rPr/>
            </w:pPr>
            <w:r>
              <w:rPr/>
            </w:r>
          </w:p>
        </w:tc>
        <w:tc>
          <w:tcPr>
            <w:tcW w:w="2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4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obligations of the Company hereunder in connection with the Initial Closing are subject to the following conditions being met:</w:t>
            </w:r>
          </w:p>
        </w:tc>
      </w:tr>
    </w:tbl>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154" w:name="zbbad0c7d37f54aba99f722c6c196dde2"/>
      <w:bookmarkStart w:id="155" w:name="zbbad0c7d37f54aba99f722c6c196dde2"/>
      <w:bookmarkEnd w:id="155"/>
    </w:p>
    <w:tbl>
      <w:tblPr>
        <w:tblW w:w="10205" w:type="dxa"/>
        <w:jc w:val="left"/>
        <w:tblInd w:w="0" w:type="dxa"/>
        <w:tblLayout w:type="fixed"/>
        <w:tblCellMar>
          <w:top w:w="0" w:type="dxa"/>
          <w:left w:w="0" w:type="dxa"/>
          <w:bottom w:w="0" w:type="dxa"/>
          <w:right w:w="0" w:type="dxa"/>
        </w:tblCellMar>
      </w:tblPr>
      <w:tblGrid>
        <w:gridCol w:w="38"/>
        <w:gridCol w:w="152"/>
        <w:gridCol w:w="10015"/>
      </w:tblGrid>
      <w:tr>
        <w:trPr/>
        <w:tc>
          <w:tcPr>
            <w:tcW w:w="38" w:type="dxa"/>
            <w:tcBorders/>
            <w:vAlign w:val="center"/>
          </w:tcPr>
          <w:p>
            <w:pPr>
              <w:pStyle w:val="TableContents"/>
              <w:bidi w:val="0"/>
              <w:spacing w:before="0" w:after="283"/>
              <w:jc w:val="left"/>
              <w:rPr/>
            </w:pPr>
            <w:r>
              <w:rPr/>
            </w:r>
          </w:p>
        </w:tc>
        <w:tc>
          <w:tcPr>
            <w:tcW w:w="15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1001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accuracy in all material respects (or, to the extent representations or warranties are qualified by materiality or Material Adverse Effect, in all respects) when made and on the Initial Closing Date of the representations and warranties of the Purchasers contained herein (unless such representation or warranty is as of a specific date therein in which case they shall be accurate in all material respects (or, to the extent representations or warranties are qualified by materiality or Material Adverse Effect, in all respects) as of such date);</w:t>
            </w:r>
          </w:p>
        </w:tc>
      </w:tr>
    </w:tbl>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156" w:name="z4a9164896aa647ac830ae318d6ce6130"/>
      <w:bookmarkStart w:id="157" w:name="z4a9164896aa647ac830ae318d6ce6130"/>
      <w:bookmarkEnd w:id="157"/>
    </w:p>
    <w:tbl>
      <w:tblPr>
        <w:tblW w:w="10205" w:type="dxa"/>
        <w:jc w:val="left"/>
        <w:tblInd w:w="0" w:type="dxa"/>
        <w:tblLayout w:type="fixed"/>
        <w:tblCellMar>
          <w:top w:w="0" w:type="dxa"/>
          <w:left w:w="0" w:type="dxa"/>
          <w:bottom w:w="0" w:type="dxa"/>
          <w:right w:w="0" w:type="dxa"/>
        </w:tblCellMar>
      </w:tblPr>
      <w:tblGrid>
        <w:gridCol w:w="38"/>
        <w:gridCol w:w="246"/>
        <w:gridCol w:w="9921"/>
      </w:tblGrid>
      <w:tr>
        <w:trPr/>
        <w:tc>
          <w:tcPr>
            <w:tcW w:w="38" w:type="dxa"/>
            <w:tcBorders/>
            <w:vAlign w:val="center"/>
          </w:tcPr>
          <w:p>
            <w:pPr>
              <w:pStyle w:val="TableContents"/>
              <w:bidi w:val="0"/>
              <w:spacing w:before="0" w:after="283"/>
              <w:jc w:val="left"/>
              <w:rPr/>
            </w:pPr>
            <w:r>
              <w:rPr/>
            </w:r>
          </w:p>
        </w:tc>
        <w:tc>
          <w:tcPr>
            <w:tcW w:w="2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992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all obligations, covenants and agreements of each Purchaser required to be performed at or prior to the Initial Closing Date shall have been performed; and</w:t>
            </w:r>
          </w:p>
        </w:tc>
      </w:tr>
    </w:tbl>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158" w:name="z0970452720244dc7abaf0e3dfe9498ca"/>
      <w:bookmarkStart w:id="159" w:name="z0970452720244dc7abaf0e3dfe9498ca"/>
      <w:bookmarkEnd w:id="159"/>
    </w:p>
    <w:tbl>
      <w:tblPr>
        <w:tblW w:w="7488" w:type="dxa"/>
        <w:jc w:val="left"/>
        <w:tblInd w:w="0" w:type="dxa"/>
        <w:tblLayout w:type="fixed"/>
        <w:tblCellMar>
          <w:top w:w="0" w:type="dxa"/>
          <w:left w:w="0" w:type="dxa"/>
          <w:bottom w:w="0" w:type="dxa"/>
          <w:right w:w="0" w:type="dxa"/>
        </w:tblCellMar>
      </w:tblPr>
      <w:tblGrid>
        <w:gridCol w:w="38"/>
        <w:gridCol w:w="320"/>
        <w:gridCol w:w="7130"/>
      </w:tblGrid>
      <w:tr>
        <w:trPr/>
        <w:tc>
          <w:tcPr>
            <w:tcW w:w="38" w:type="dxa"/>
            <w:tcBorders/>
            <w:vAlign w:val="center"/>
          </w:tcPr>
          <w:p>
            <w:pPr>
              <w:pStyle w:val="TableContents"/>
              <w:bidi w:val="0"/>
              <w:spacing w:before="0" w:after="283"/>
              <w:jc w:val="left"/>
              <w:rPr/>
            </w:pPr>
            <w:r>
              <w:rPr/>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(iii)</w:t>
            </w:r>
          </w:p>
        </w:tc>
        <w:tc>
          <w:tcPr>
            <w:tcW w:w="713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delivery by each Purchaser of the items set forth in Section 2.3(b) of this Agreement.</w:t>
            </w:r>
          </w:p>
        </w:tc>
      </w:tr>
    </w:tbl>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160" w:name="z5047e2fd7ad74929897b92f56b093188"/>
      <w:bookmarkStart w:id="161" w:name="z5047e2fd7ad74929897b92f56b093188"/>
      <w:bookmarkEnd w:id="161"/>
    </w:p>
    <w:tbl>
      <w:tblPr>
        <w:tblW w:w="10205" w:type="dxa"/>
        <w:jc w:val="left"/>
        <w:tblInd w:w="0" w:type="dxa"/>
        <w:tblLayout w:type="fixed"/>
        <w:tblCellMar>
          <w:top w:w="0" w:type="dxa"/>
          <w:left w:w="0" w:type="dxa"/>
          <w:bottom w:w="0" w:type="dxa"/>
          <w:right w:w="0" w:type="dxa"/>
        </w:tblCellMar>
      </w:tblPr>
      <w:tblGrid>
        <w:gridCol w:w="38"/>
        <w:gridCol w:w="209"/>
        <w:gridCol w:w="9958"/>
      </w:tblGrid>
      <w:tr>
        <w:trPr/>
        <w:tc>
          <w:tcPr>
            <w:tcW w:w="38" w:type="dxa"/>
            <w:tcBorders/>
            <w:vAlign w:val="center"/>
          </w:tcPr>
          <w:p>
            <w:pPr>
              <w:pStyle w:val="TableContents"/>
              <w:bidi w:val="0"/>
              <w:spacing w:before="0" w:after="283"/>
              <w:jc w:val="left"/>
              <w:rPr/>
            </w:pPr>
            <w:r>
              <w:rPr/>
            </w:r>
          </w:p>
        </w:tc>
        <w:tc>
          <w:tcPr>
            <w:tcW w:w="20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5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respective obligations of the Purchasers hereunder in connection with the Initial Closing are subject to the following conditions being met, provided, however that such conditions may be waived, modified or amended by any Purchaser with respect to such Purchaser’s obligations:</w:t>
            </w:r>
          </w:p>
        </w:tc>
      </w:tr>
    </w:tbl>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162" w:name="zf8bbf05514a74fe383f3b49583d65962"/>
      <w:bookmarkStart w:id="163" w:name="zf8bbf05514a74fe383f3b49583d65962"/>
      <w:bookmarkEnd w:id="163"/>
    </w:p>
    <w:tbl>
      <w:tblPr>
        <w:tblW w:w="10205" w:type="dxa"/>
        <w:jc w:val="left"/>
        <w:tblInd w:w="0" w:type="dxa"/>
        <w:tblLayout w:type="fixed"/>
        <w:tblCellMar>
          <w:top w:w="0" w:type="dxa"/>
          <w:left w:w="0" w:type="dxa"/>
          <w:bottom w:w="0" w:type="dxa"/>
          <w:right w:w="0" w:type="dxa"/>
        </w:tblCellMar>
      </w:tblPr>
      <w:tblGrid>
        <w:gridCol w:w="38"/>
        <w:gridCol w:w="152"/>
        <w:gridCol w:w="10015"/>
      </w:tblGrid>
      <w:tr>
        <w:trPr/>
        <w:tc>
          <w:tcPr>
            <w:tcW w:w="38" w:type="dxa"/>
            <w:tcBorders/>
            <w:vAlign w:val="center"/>
          </w:tcPr>
          <w:p>
            <w:pPr>
              <w:pStyle w:val="TableContents"/>
              <w:bidi w:val="0"/>
              <w:spacing w:before="0" w:after="283"/>
              <w:jc w:val="left"/>
              <w:rPr/>
            </w:pPr>
            <w:r>
              <w:rPr/>
            </w:r>
          </w:p>
        </w:tc>
        <w:tc>
          <w:tcPr>
            <w:tcW w:w="15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1001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accuracy in all material respects (or, to the extent representations or warranties are qualified by materiality or Material Adverse Effect, in all respects) when made and on the Initial Closing Date of the representations and warranties of the Company contained herein (unless such representation or warranty is as of a specific date therein in which case they shall be accurate in all material respects (or, to the extent representations or warranties are qualified by materiality or Material Adverse Effect, in all respects) as of such date);</w:t>
            </w:r>
          </w:p>
        </w:tc>
      </w:tr>
    </w:tbl>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164" w:name="z4769dd21fdfb4c02805239caa631aafe"/>
      <w:bookmarkStart w:id="165" w:name="z4769dd21fdfb4c02805239caa631aafe"/>
      <w:bookmarkEnd w:id="165"/>
    </w:p>
    <w:tbl>
      <w:tblPr>
        <w:tblW w:w="10205" w:type="dxa"/>
        <w:jc w:val="left"/>
        <w:tblInd w:w="0" w:type="dxa"/>
        <w:tblLayout w:type="fixed"/>
        <w:tblCellMar>
          <w:top w:w="0" w:type="dxa"/>
          <w:left w:w="0" w:type="dxa"/>
          <w:bottom w:w="0" w:type="dxa"/>
          <w:right w:w="0" w:type="dxa"/>
        </w:tblCellMar>
      </w:tblPr>
      <w:tblGrid>
        <w:gridCol w:w="38"/>
        <w:gridCol w:w="248"/>
        <w:gridCol w:w="9919"/>
      </w:tblGrid>
      <w:tr>
        <w:trPr/>
        <w:tc>
          <w:tcPr>
            <w:tcW w:w="38" w:type="dxa"/>
            <w:tcBorders/>
            <w:vAlign w:val="center"/>
          </w:tcPr>
          <w:p>
            <w:pPr>
              <w:pStyle w:val="TableContents"/>
              <w:bidi w:val="0"/>
              <w:spacing w:before="0" w:after="283"/>
              <w:jc w:val="left"/>
              <w:rPr/>
            </w:pPr>
            <w:r>
              <w:rPr/>
            </w:r>
          </w:p>
        </w:tc>
        <w:tc>
          <w:tcPr>
            <w:tcW w:w="2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991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all obligations, covenants and agreements of the Company required to be performed at or prior to the Initial Closing Date shall have been performed;</w:t>
            </w:r>
          </w:p>
        </w:tc>
      </w:tr>
    </w:tbl>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166" w:name="zec2a2ca1777d41f69c4f41435cd2d0c7"/>
      <w:bookmarkStart w:id="167" w:name="zec2a2ca1777d41f69c4f41435cd2d0c7"/>
      <w:bookmarkEnd w:id="167"/>
    </w:p>
    <w:tbl>
      <w:tblPr>
        <w:tblW w:w="7383" w:type="dxa"/>
        <w:jc w:val="left"/>
        <w:tblInd w:w="0" w:type="dxa"/>
        <w:tblLayout w:type="fixed"/>
        <w:tblCellMar>
          <w:top w:w="0" w:type="dxa"/>
          <w:left w:w="0" w:type="dxa"/>
          <w:bottom w:w="0" w:type="dxa"/>
          <w:right w:w="0" w:type="dxa"/>
        </w:tblCellMar>
      </w:tblPr>
      <w:tblGrid>
        <w:gridCol w:w="38"/>
        <w:gridCol w:w="320"/>
        <w:gridCol w:w="7025"/>
      </w:tblGrid>
      <w:tr>
        <w:trPr/>
        <w:tc>
          <w:tcPr>
            <w:tcW w:w="38" w:type="dxa"/>
            <w:tcBorders/>
            <w:vAlign w:val="center"/>
          </w:tcPr>
          <w:p>
            <w:pPr>
              <w:pStyle w:val="TableContents"/>
              <w:bidi w:val="0"/>
              <w:spacing w:before="0" w:after="283"/>
              <w:jc w:val="left"/>
              <w:rPr/>
            </w:pPr>
            <w:r>
              <w:rPr/>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(iii)</w:t>
            </w:r>
          </w:p>
        </w:tc>
        <w:tc>
          <w:tcPr>
            <w:tcW w:w="702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delivery by the Company of the items set forth in Section 2.3(a) of this Agreement;</w:t>
            </w:r>
          </w:p>
        </w:tc>
      </w:tr>
    </w:tbl>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168" w:name="z3cd0eb0f81bf423891d81332a6576dd0"/>
      <w:bookmarkStart w:id="169" w:name="z3cd0eb0f81bf423891d81332a6576dd0"/>
      <w:bookmarkEnd w:id="169"/>
    </w:p>
    <w:tbl>
      <w:tblPr>
        <w:tblW w:w="10205" w:type="dxa"/>
        <w:jc w:val="left"/>
        <w:tblInd w:w="0" w:type="dxa"/>
        <w:tblLayout w:type="fixed"/>
        <w:tblCellMar>
          <w:top w:w="0" w:type="dxa"/>
          <w:left w:w="0" w:type="dxa"/>
          <w:bottom w:w="0" w:type="dxa"/>
          <w:right w:w="0" w:type="dxa"/>
        </w:tblCellMar>
      </w:tblPr>
      <w:tblGrid>
        <w:gridCol w:w="38"/>
        <w:gridCol w:w="287"/>
        <w:gridCol w:w="9880"/>
      </w:tblGrid>
      <w:tr>
        <w:trPr/>
        <w:tc>
          <w:tcPr>
            <w:tcW w:w="38" w:type="dxa"/>
            <w:tcBorders/>
            <w:vAlign w:val="center"/>
          </w:tcPr>
          <w:p>
            <w:pPr>
              <w:pStyle w:val="TableContents"/>
              <w:bidi w:val="0"/>
              <w:spacing w:before="0" w:after="283"/>
              <w:jc w:val="left"/>
              <w:rPr/>
            </w:pPr>
            <w:r>
              <w:rPr/>
            </w:r>
          </w:p>
        </w:tc>
        <w:tc>
          <w:tcPr>
            <w:tcW w:w="28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(iv)</w:t>
            </w:r>
          </w:p>
        </w:tc>
        <w:tc>
          <w:tcPr>
            <w:tcW w:w="988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there shall have been no Material Adverse Effect with respect to the Company since the date of the latest audited financial statements included within the SEC Reports;</w:t>
            </w:r>
          </w:p>
        </w:tc>
      </w:tr>
    </w:tbl>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10</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170" w:name="z9a063895b5ce4cab8c86a93f11ca52e5"/>
      <w:bookmarkStart w:id="171" w:name="z9a063895b5ce4cab8c86a93f11ca52e5"/>
      <w:bookmarkEnd w:id="171"/>
    </w:p>
    <w:tbl>
      <w:tblPr>
        <w:tblW w:w="10205" w:type="dxa"/>
        <w:jc w:val="left"/>
        <w:tblInd w:w="0" w:type="dxa"/>
        <w:tblLayout w:type="fixed"/>
        <w:tblCellMar>
          <w:top w:w="0" w:type="dxa"/>
          <w:left w:w="0" w:type="dxa"/>
          <w:bottom w:w="0" w:type="dxa"/>
          <w:right w:w="0" w:type="dxa"/>
        </w:tblCellMar>
      </w:tblPr>
      <w:tblGrid>
        <w:gridCol w:w="38"/>
        <w:gridCol w:w="192"/>
        <w:gridCol w:w="9975"/>
      </w:tblGrid>
      <w:tr>
        <w:trPr/>
        <w:tc>
          <w:tcPr>
            <w:tcW w:w="38" w:type="dxa"/>
            <w:tcBorders/>
            <w:vAlign w:val="center"/>
          </w:tcPr>
          <w:p>
            <w:pPr>
              <w:pStyle w:val="TableContents"/>
              <w:bidi w:val="0"/>
              <w:spacing w:before="0" w:after="283"/>
              <w:jc w:val="left"/>
              <w:rPr/>
            </w:pPr>
            <w:r>
              <w:rPr/>
            </w:r>
          </w:p>
        </w:tc>
        <w:tc>
          <w:tcPr>
            <w:tcW w:w="19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w:t>
            </w:r>
          </w:p>
        </w:tc>
        <w:tc>
          <w:tcPr>
            <w:tcW w:w="997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from the date hereof to the Initial Closing Date, trading in the Ordinary Shares shall not have been suspended by the Commission or the Company’s principal Trading Market and, at any time prior to the Initial Closing Date, trading in securities generally as reported by Bloomberg L.P. shall not have been suspended or limited, or minimum prices shall not have been established on securities whose trades are reported by such service, or on any Trading Market, nor shall a banking moratorium have been declared either by the United States or New York State authorities nor shall there have occurred any material outbreak or escalation of hostilities or other national or international calamity of such magnitude in its effect on, or any material adverse change in, any financial market which, in each case, in the reasonable judgment of such Purchaser, makes it impracticable or inadvisable to purchase the Securities at the Initial Closing.</w:t>
            </w:r>
          </w:p>
        </w:tc>
      </w:tr>
    </w:tbl>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2.5          </w:t>
      </w:r>
      <w:r>
        <w:rPr>
          <w:rFonts w:ascii="Times New Roman;Times;serif" w:hAnsi="Times New Roman;Times;serif"/>
          <w:color w:val="000000"/>
          <w:sz w:val="20"/>
          <w:u w:val="single"/>
        </w:rPr>
        <w:t>Additional Closing Deliveries</w:t>
      </w:r>
      <w:r>
        <w:rPr>
          <w:rFonts w:ascii="Times New Roman;Times;serif" w:hAnsi="Times New Roman;Times;serif"/>
          <w:color w:val="000000"/>
          <w:sz w:val="20"/>
        </w:rPr>
        <w:t>.</w:t>
      </w:r>
    </w:p>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172" w:name="z76a216dae38c41d4a3143e44b59a538f"/>
      <w:bookmarkStart w:id="173" w:name="z76a216dae38c41d4a3143e44b59a538f"/>
      <w:bookmarkEnd w:id="173"/>
    </w:p>
    <w:tbl>
      <w:tblPr>
        <w:tblW w:w="10205" w:type="dxa"/>
        <w:jc w:val="left"/>
        <w:tblInd w:w="0" w:type="dxa"/>
        <w:tblLayout w:type="fixed"/>
        <w:tblCellMar>
          <w:top w:w="0" w:type="dxa"/>
          <w:left w:w="0" w:type="dxa"/>
          <w:bottom w:w="0" w:type="dxa"/>
          <w:right w:w="0" w:type="dxa"/>
        </w:tblCellMar>
      </w:tblPr>
      <w:tblGrid>
        <w:gridCol w:w="38"/>
        <w:gridCol w:w="227"/>
        <w:gridCol w:w="9940"/>
      </w:tblGrid>
      <w:tr>
        <w:trPr/>
        <w:tc>
          <w:tcPr>
            <w:tcW w:w="38" w:type="dxa"/>
            <w:tcBorders/>
            <w:vAlign w:val="center"/>
          </w:tcPr>
          <w:p>
            <w:pPr>
              <w:pStyle w:val="TableContents"/>
              <w:bidi w:val="0"/>
              <w:spacing w:before="0" w:after="283"/>
              <w:jc w:val="left"/>
              <w:rPr/>
            </w:pPr>
            <w:r>
              <w:rPr/>
            </w:r>
          </w:p>
        </w:tc>
        <w:tc>
          <w:tcPr>
            <w:tcW w:w="22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4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On or prior to the Additional Closing Date, the Company shall deliver or cause to be delivered to each Purchaser the following:</w:t>
            </w:r>
          </w:p>
        </w:tc>
      </w:tr>
    </w:tbl>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174" w:name="zc0344de804894470bc7729421c7e6dc1"/>
      <w:bookmarkStart w:id="175" w:name="zc0344de804894470bc7729421c7e6dc1"/>
      <w:bookmarkEnd w:id="175"/>
    </w:p>
    <w:tbl>
      <w:tblPr>
        <w:tblW w:w="10205" w:type="dxa"/>
        <w:jc w:val="left"/>
        <w:tblInd w:w="0" w:type="dxa"/>
        <w:tblLayout w:type="fixed"/>
        <w:tblCellMar>
          <w:top w:w="0" w:type="dxa"/>
          <w:left w:w="0" w:type="dxa"/>
          <w:bottom w:w="0" w:type="dxa"/>
          <w:right w:w="0" w:type="dxa"/>
        </w:tblCellMar>
      </w:tblPr>
      <w:tblGrid>
        <w:gridCol w:w="38"/>
        <w:gridCol w:w="156"/>
        <w:gridCol w:w="10011"/>
      </w:tblGrid>
      <w:tr>
        <w:trPr/>
        <w:tc>
          <w:tcPr>
            <w:tcW w:w="38" w:type="dxa"/>
            <w:tcBorders/>
            <w:vAlign w:val="center"/>
          </w:tcPr>
          <w:p>
            <w:pPr>
              <w:pStyle w:val="TableContents"/>
              <w:bidi w:val="0"/>
              <w:spacing w:before="0" w:after="283"/>
              <w:jc w:val="left"/>
              <w:rPr/>
            </w:pPr>
            <w:r>
              <w:rPr/>
            </w:r>
          </w:p>
        </w:tc>
        <w:tc>
          <w:tcPr>
            <w:tcW w:w="15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1001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an ink-original Additional Note with a principal amount equal to such Purchaser’s Additional Note Principal Amount, registered in the name of such Purchaser, provided that such ink-original Additional Note may be delivered promptly after such Additional Closing by the Company, in which case the Company will provide an electronically signed version of the Additional Note on or prior to the Additional Closing Date;</w:t>
            </w:r>
          </w:p>
        </w:tc>
      </w:tr>
    </w:tbl>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176" w:name="z2e0f00d20df34ba4b0f6183ec505b8a4"/>
      <w:bookmarkStart w:id="177" w:name="z2e0f00d20df34ba4b0f6183ec505b8a4"/>
      <w:bookmarkEnd w:id="177"/>
    </w:p>
    <w:tbl>
      <w:tblPr>
        <w:tblW w:w="10205" w:type="dxa"/>
        <w:jc w:val="left"/>
        <w:tblInd w:w="0" w:type="dxa"/>
        <w:tblLayout w:type="fixed"/>
        <w:tblCellMar>
          <w:top w:w="0" w:type="dxa"/>
          <w:left w:w="0" w:type="dxa"/>
          <w:bottom w:w="0" w:type="dxa"/>
          <w:right w:w="0" w:type="dxa"/>
        </w:tblCellMar>
      </w:tblPr>
      <w:tblGrid>
        <w:gridCol w:w="38"/>
        <w:gridCol w:w="231"/>
        <w:gridCol w:w="9936"/>
      </w:tblGrid>
      <w:tr>
        <w:trPr/>
        <w:tc>
          <w:tcPr>
            <w:tcW w:w="38" w:type="dxa"/>
            <w:tcBorders/>
            <w:vAlign w:val="center"/>
          </w:tcPr>
          <w:p>
            <w:pPr>
              <w:pStyle w:val="TableContents"/>
              <w:bidi w:val="0"/>
              <w:spacing w:before="0" w:after="283"/>
              <w:jc w:val="left"/>
              <w:rPr/>
            </w:pPr>
            <w:r>
              <w:rPr/>
            </w:r>
          </w:p>
        </w:tc>
        <w:tc>
          <w:tcPr>
            <w:tcW w:w="23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993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 certificate, executed on behalf of the Company by its Chief Executive Officer or its Chief Financial Officer, dated as of the Additional Closing Date, certifying to the fulfillment of the conditions specified in Section 2.6(b);</w:t>
            </w:r>
          </w:p>
        </w:tc>
      </w:tr>
    </w:tbl>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178" w:name="z7a66fbd0964749968630eb0ee73885f4"/>
      <w:bookmarkStart w:id="179" w:name="z7a66fbd0964749968630eb0ee73885f4"/>
      <w:bookmarkEnd w:id="179"/>
    </w:p>
    <w:tbl>
      <w:tblPr>
        <w:tblW w:w="10205" w:type="dxa"/>
        <w:jc w:val="left"/>
        <w:tblInd w:w="0" w:type="dxa"/>
        <w:tblLayout w:type="fixed"/>
        <w:tblCellMar>
          <w:top w:w="0" w:type="dxa"/>
          <w:left w:w="0" w:type="dxa"/>
          <w:bottom w:w="0" w:type="dxa"/>
          <w:right w:w="0" w:type="dxa"/>
        </w:tblCellMar>
      </w:tblPr>
      <w:tblGrid>
        <w:gridCol w:w="38"/>
        <w:gridCol w:w="272"/>
        <w:gridCol w:w="9895"/>
      </w:tblGrid>
      <w:tr>
        <w:trPr/>
        <w:tc>
          <w:tcPr>
            <w:tcW w:w="38" w:type="dxa"/>
            <w:tcBorders/>
            <w:vAlign w:val="center"/>
          </w:tcPr>
          <w:p>
            <w:pPr>
              <w:pStyle w:val="TableContents"/>
              <w:bidi w:val="0"/>
              <w:spacing w:before="0" w:after="283"/>
              <w:jc w:val="left"/>
              <w:rPr/>
            </w:pPr>
            <w:r>
              <w:rPr/>
            </w:r>
          </w:p>
        </w:tc>
        <w:tc>
          <w:tcPr>
            <w:tcW w:w="27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(iii)</w:t>
            </w:r>
          </w:p>
        </w:tc>
        <w:tc>
          <w:tcPr>
            <w:tcW w:w="989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certificates, executed on behalf of the Company, dated as of the Additional Closing Date, certifying the resolutions adopted by the boards of directors of the Company, approving the transactions contemplated by this Agreement and the other Transaction Documents, as applicable, certifying the current versions of the constitutional documents of the Company and certifying as to the signatures and authority of Persons signing this Agreement and the other Transaction Documents, as applicable, and related documents on behalf of the Company;</w:t>
            </w:r>
          </w:p>
        </w:tc>
      </w:tr>
    </w:tbl>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180" w:name="ze4f861217cfe4c5bbb6aa6d575c00353"/>
      <w:bookmarkStart w:id="181" w:name="ze4f861217cfe4c5bbb6aa6d575c00353"/>
      <w:bookmarkEnd w:id="181"/>
    </w:p>
    <w:tbl>
      <w:tblPr>
        <w:tblW w:w="10205" w:type="dxa"/>
        <w:jc w:val="left"/>
        <w:tblInd w:w="0" w:type="dxa"/>
        <w:tblLayout w:type="fixed"/>
        <w:tblCellMar>
          <w:top w:w="0" w:type="dxa"/>
          <w:left w:w="0" w:type="dxa"/>
          <w:bottom w:w="0" w:type="dxa"/>
          <w:right w:w="0" w:type="dxa"/>
        </w:tblCellMar>
      </w:tblPr>
      <w:tblGrid>
        <w:gridCol w:w="38"/>
        <w:gridCol w:w="301"/>
        <w:gridCol w:w="9866"/>
      </w:tblGrid>
      <w:tr>
        <w:trPr/>
        <w:tc>
          <w:tcPr>
            <w:tcW w:w="38" w:type="dxa"/>
            <w:tcBorders/>
            <w:vAlign w:val="center"/>
          </w:tcPr>
          <w:p>
            <w:pPr>
              <w:pStyle w:val="TableContents"/>
              <w:bidi w:val="0"/>
              <w:spacing w:before="0" w:after="283"/>
              <w:jc w:val="left"/>
              <w:rPr/>
            </w:pPr>
            <w:r>
              <w:rPr/>
            </w:r>
          </w:p>
        </w:tc>
        <w:tc>
          <w:tcPr>
            <w:tcW w:w="30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(iv)</w:t>
            </w:r>
          </w:p>
        </w:tc>
        <w:tc>
          <w:tcPr>
            <w:tcW w:w="986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Company’s wire instructions, on Company letterhead and executed by the Chief Executive Officer or Chief Financial Officer;</w:t>
            </w:r>
          </w:p>
        </w:tc>
      </w:tr>
    </w:tbl>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11</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182" w:name="z530f8b31c726427a8de6e123d89eaa18"/>
      <w:bookmarkStart w:id="183" w:name="z530f8b31c726427a8de6e123d89eaa18"/>
      <w:bookmarkEnd w:id="183"/>
    </w:p>
    <w:tbl>
      <w:tblPr>
        <w:tblW w:w="10205" w:type="dxa"/>
        <w:jc w:val="left"/>
        <w:tblInd w:w="0" w:type="dxa"/>
        <w:tblLayout w:type="fixed"/>
        <w:tblCellMar>
          <w:top w:w="0" w:type="dxa"/>
          <w:left w:w="0" w:type="dxa"/>
          <w:bottom w:w="0" w:type="dxa"/>
          <w:right w:w="0" w:type="dxa"/>
        </w:tblCellMar>
      </w:tblPr>
      <w:tblGrid>
        <w:gridCol w:w="38"/>
        <w:gridCol w:w="197"/>
        <w:gridCol w:w="9970"/>
      </w:tblGrid>
      <w:tr>
        <w:trPr/>
        <w:tc>
          <w:tcPr>
            <w:tcW w:w="38" w:type="dxa"/>
            <w:tcBorders/>
            <w:vAlign w:val="center"/>
          </w:tcPr>
          <w:p>
            <w:pPr>
              <w:pStyle w:val="TableContents"/>
              <w:bidi w:val="0"/>
              <w:spacing w:before="0" w:after="283"/>
              <w:jc w:val="left"/>
              <w:rPr/>
            </w:pPr>
            <w:r>
              <w:rPr/>
            </w:r>
          </w:p>
        </w:tc>
        <w:tc>
          <w:tcPr>
            <w:tcW w:w="19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w:t>
            </w:r>
          </w:p>
        </w:tc>
        <w:tc>
          <w:tcPr>
            <w:tcW w:w="997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an ink-original Additional Warrant registered in the name of such Purchaser to purchase the number of Ordinary Shares as set forth below such Purchaser’s signature block on the signature pages hereto next to the heading “Additional Warrant Shares”, provided that such ink-original Additional Warrant may be delivered promptly after such Additional Closing by the Company, in which case the Company will provide an electronically signed version of the Additional Warrant on or prior to the Additional Closing Date;</w:t>
            </w:r>
          </w:p>
        </w:tc>
      </w:tr>
    </w:tbl>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184" w:name="zc91539889441425ebc70d412d926a945"/>
      <w:bookmarkStart w:id="185" w:name="zc91539889441425ebc70d412d926a945"/>
      <w:bookmarkEnd w:id="185"/>
    </w:p>
    <w:tbl>
      <w:tblPr>
        <w:tblW w:w="10205" w:type="dxa"/>
        <w:jc w:val="left"/>
        <w:tblInd w:w="0" w:type="dxa"/>
        <w:tblLayout w:type="fixed"/>
        <w:tblCellMar>
          <w:top w:w="0" w:type="dxa"/>
          <w:left w:w="0" w:type="dxa"/>
          <w:bottom w:w="0" w:type="dxa"/>
          <w:right w:w="0" w:type="dxa"/>
        </w:tblCellMar>
      </w:tblPr>
      <w:tblGrid>
        <w:gridCol w:w="38"/>
        <w:gridCol w:w="287"/>
        <w:gridCol w:w="9880"/>
      </w:tblGrid>
      <w:tr>
        <w:trPr/>
        <w:tc>
          <w:tcPr>
            <w:tcW w:w="38" w:type="dxa"/>
            <w:tcBorders/>
            <w:vAlign w:val="center"/>
          </w:tcPr>
          <w:p>
            <w:pPr>
              <w:pStyle w:val="TableContents"/>
              <w:bidi w:val="0"/>
              <w:spacing w:before="0" w:after="283"/>
              <w:jc w:val="left"/>
              <w:rPr/>
            </w:pPr>
            <w:r>
              <w:rPr/>
            </w:r>
          </w:p>
        </w:tc>
        <w:tc>
          <w:tcPr>
            <w:tcW w:w="28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(iv)</w:t>
            </w:r>
          </w:p>
        </w:tc>
        <w:tc>
          <w:tcPr>
            <w:tcW w:w="988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legal opinions of Company U.S. Counsel and Company Israeli Counsel, directed to the Purchasers, in form and substance reasonably acceptable to the Purchasers; and</w:t>
            </w:r>
          </w:p>
        </w:tc>
      </w:tr>
    </w:tbl>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186" w:name="z856196967ce74ffabf19ef4a722b9dd2"/>
      <w:bookmarkStart w:id="187" w:name="z856196967ce74ffabf19ef4a722b9dd2"/>
      <w:bookmarkEnd w:id="187"/>
    </w:p>
    <w:tbl>
      <w:tblPr>
        <w:tblW w:w="10205" w:type="dxa"/>
        <w:jc w:val="left"/>
        <w:tblInd w:w="0" w:type="dxa"/>
        <w:tblLayout w:type="fixed"/>
        <w:tblCellMar>
          <w:top w:w="0" w:type="dxa"/>
          <w:left w:w="0" w:type="dxa"/>
          <w:bottom w:w="0" w:type="dxa"/>
          <w:right w:w="0" w:type="dxa"/>
        </w:tblCellMar>
      </w:tblPr>
      <w:tblGrid>
        <w:gridCol w:w="38"/>
        <w:gridCol w:w="218"/>
        <w:gridCol w:w="9949"/>
      </w:tblGrid>
      <w:tr>
        <w:trPr/>
        <w:tc>
          <w:tcPr>
            <w:tcW w:w="38" w:type="dxa"/>
            <w:tcBorders/>
            <w:vAlign w:val="center"/>
          </w:tcPr>
          <w:p>
            <w:pPr>
              <w:pStyle w:val="TableContents"/>
              <w:bidi w:val="0"/>
              <w:spacing w:before="0" w:after="283"/>
              <w:jc w:val="left"/>
              <w:rPr/>
            </w:pPr>
            <w:r>
              <w:rPr/>
            </w:r>
          </w:p>
        </w:tc>
        <w:tc>
          <w:tcPr>
            <w:tcW w:w="2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w:t>
            </w:r>
          </w:p>
        </w:tc>
        <w:tc>
          <w:tcPr>
            <w:tcW w:w="994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any joinders or supplements to the Security Documents duly executed by the Company and the Agent, as applicable, and as is required pursuant to the terms thereof in connection with the Additional Closing.</w:t>
            </w:r>
          </w:p>
        </w:tc>
      </w:tr>
    </w:tbl>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188" w:name="z02c5b202a53b4713b82de9d917f44243"/>
      <w:bookmarkStart w:id="189" w:name="z02c5b202a53b4713b82de9d917f44243"/>
      <w:bookmarkEnd w:id="189"/>
    </w:p>
    <w:tbl>
      <w:tblPr>
        <w:tblW w:w="8028" w:type="dxa"/>
        <w:jc w:val="left"/>
        <w:tblInd w:w="0" w:type="dxa"/>
        <w:tblLayout w:type="fixed"/>
        <w:tblCellMar>
          <w:top w:w="0" w:type="dxa"/>
          <w:left w:w="0" w:type="dxa"/>
          <w:bottom w:w="0" w:type="dxa"/>
          <w:right w:w="0" w:type="dxa"/>
        </w:tblCellMar>
      </w:tblPr>
      <w:tblGrid>
        <w:gridCol w:w="38"/>
        <w:gridCol w:w="245"/>
        <w:gridCol w:w="7745"/>
      </w:tblGrid>
      <w:tr>
        <w:trPr/>
        <w:tc>
          <w:tcPr>
            <w:tcW w:w="38" w:type="dxa"/>
            <w:tcBorders/>
            <w:vAlign w:val="center"/>
          </w:tcPr>
          <w:p>
            <w:pPr>
              <w:pStyle w:val="TableContents"/>
              <w:bidi w:val="0"/>
              <w:spacing w:before="0" w:after="283"/>
              <w:jc w:val="left"/>
              <w:rPr/>
            </w:pPr>
            <w:r>
              <w:rPr/>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774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On the Additional Closing Date, each Purchaser shall deliver to the Company such Purchaser’s:</w:t>
            </w:r>
          </w:p>
        </w:tc>
      </w:tr>
    </w:tbl>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190" w:name="z9d28952dc286459ebc4642a687a74789"/>
      <w:bookmarkStart w:id="191" w:name="z9d28952dc286459ebc4642a687a74789"/>
      <w:bookmarkEnd w:id="191"/>
    </w:p>
    <w:tbl>
      <w:tblPr>
        <w:tblW w:w="8778" w:type="dxa"/>
        <w:jc w:val="left"/>
        <w:tblInd w:w="0" w:type="dxa"/>
        <w:tblLayout w:type="fixed"/>
        <w:tblCellMar>
          <w:top w:w="0" w:type="dxa"/>
          <w:left w:w="0" w:type="dxa"/>
          <w:bottom w:w="0" w:type="dxa"/>
          <w:right w:w="0" w:type="dxa"/>
        </w:tblCellMar>
      </w:tblPr>
      <w:tblGrid>
        <w:gridCol w:w="38"/>
        <w:gridCol w:w="125"/>
        <w:gridCol w:w="8615"/>
      </w:tblGrid>
      <w:tr>
        <w:trPr/>
        <w:tc>
          <w:tcPr>
            <w:tcW w:w="38" w:type="dxa"/>
            <w:tcBorders/>
            <w:vAlign w:val="center"/>
          </w:tcPr>
          <w:p>
            <w:pPr>
              <w:pStyle w:val="TableContents"/>
              <w:bidi w:val="0"/>
              <w:spacing w:before="0" w:after="283"/>
              <w:jc w:val="left"/>
              <w:rPr/>
            </w:pPr>
            <w:r>
              <w:rPr/>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861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Additional Subscription Amount by wire transfer to the account specified in writing by the Company; and</w:t>
            </w:r>
          </w:p>
        </w:tc>
      </w:tr>
    </w:tbl>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192" w:name="z5cfcd9bd25e449e7921dfbd0bb34dfd5"/>
      <w:bookmarkStart w:id="193" w:name="z5cfcd9bd25e449e7921dfbd0bb34dfd5"/>
      <w:bookmarkEnd w:id="193"/>
    </w:p>
    <w:tbl>
      <w:tblPr>
        <w:tblW w:w="10205" w:type="dxa"/>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pPr>
            <w:r>
              <w:rPr/>
            </w:r>
          </w:p>
        </w:tc>
        <w:tc>
          <w:tcPr>
            <w:tcW w:w="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998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any joinders or supplements to the Security Documents duly executed by such Purchaser and the Agent, as applicable, and as is required pursuant to the terms thereof in connection with the Additional Closing.</w:t>
            </w:r>
          </w:p>
        </w:tc>
      </w:tr>
    </w:tbl>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2.6          </w:t>
      </w:r>
      <w:r>
        <w:rPr>
          <w:rFonts w:ascii="Times New Roman;Times;serif" w:hAnsi="Times New Roman;Times;serif"/>
          <w:color w:val="000000"/>
          <w:sz w:val="20"/>
          <w:u w:val="single"/>
        </w:rPr>
        <w:t>Additional Closing Conditions</w:t>
      </w:r>
      <w:r>
        <w:rPr>
          <w:rFonts w:ascii="Times New Roman;Times;serif" w:hAnsi="Times New Roman;Times;serif"/>
          <w:color w:val="000000"/>
          <w:sz w:val="20"/>
        </w:rPr>
        <w:t>.</w:t>
      </w:r>
    </w:p>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194" w:name="z77bb234e006840638db1d3482574fcd5"/>
      <w:bookmarkStart w:id="195" w:name="z77bb234e006840638db1d3482574fcd5"/>
      <w:bookmarkEnd w:id="195"/>
    </w:p>
    <w:tbl>
      <w:tblPr>
        <w:tblW w:w="10205" w:type="dxa"/>
        <w:jc w:val="left"/>
        <w:tblInd w:w="0" w:type="dxa"/>
        <w:tblLayout w:type="fixed"/>
        <w:tblCellMar>
          <w:top w:w="0" w:type="dxa"/>
          <w:left w:w="0" w:type="dxa"/>
          <w:bottom w:w="0" w:type="dxa"/>
          <w:right w:w="0" w:type="dxa"/>
        </w:tblCellMar>
      </w:tblPr>
      <w:tblGrid>
        <w:gridCol w:w="38"/>
        <w:gridCol w:w="223"/>
        <w:gridCol w:w="9944"/>
      </w:tblGrid>
      <w:tr>
        <w:trPr/>
        <w:tc>
          <w:tcPr>
            <w:tcW w:w="38" w:type="dxa"/>
            <w:tcBorders/>
            <w:vAlign w:val="center"/>
          </w:tcPr>
          <w:p>
            <w:pPr>
              <w:pStyle w:val="TableContents"/>
              <w:bidi w:val="0"/>
              <w:spacing w:before="0" w:after="283"/>
              <w:jc w:val="left"/>
              <w:rPr/>
            </w:pPr>
            <w:r>
              <w:rPr/>
            </w:r>
          </w:p>
        </w:tc>
        <w:tc>
          <w:tcPr>
            <w:tcW w:w="22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4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obligations of the Company hereunder in connection with the Additional Closing are subject to the following conditions being met:</w:t>
            </w:r>
          </w:p>
        </w:tc>
      </w:tr>
    </w:tbl>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196" w:name="zdc39cc6bd0b94eefabf7c4c38170a714"/>
      <w:bookmarkStart w:id="197" w:name="zdc39cc6bd0b94eefabf7c4c38170a714"/>
      <w:bookmarkEnd w:id="197"/>
    </w:p>
    <w:tbl>
      <w:tblPr>
        <w:tblW w:w="10205" w:type="dxa"/>
        <w:jc w:val="left"/>
        <w:tblInd w:w="0" w:type="dxa"/>
        <w:tblLayout w:type="fixed"/>
        <w:tblCellMar>
          <w:top w:w="0" w:type="dxa"/>
          <w:left w:w="0" w:type="dxa"/>
          <w:bottom w:w="0" w:type="dxa"/>
          <w:right w:w="0" w:type="dxa"/>
        </w:tblCellMar>
      </w:tblPr>
      <w:tblGrid>
        <w:gridCol w:w="38"/>
        <w:gridCol w:w="152"/>
        <w:gridCol w:w="10015"/>
      </w:tblGrid>
      <w:tr>
        <w:trPr/>
        <w:tc>
          <w:tcPr>
            <w:tcW w:w="38" w:type="dxa"/>
            <w:tcBorders/>
            <w:vAlign w:val="center"/>
          </w:tcPr>
          <w:p>
            <w:pPr>
              <w:pStyle w:val="TableContents"/>
              <w:bidi w:val="0"/>
              <w:spacing w:before="0" w:after="283"/>
              <w:jc w:val="left"/>
              <w:rPr/>
            </w:pPr>
            <w:r>
              <w:rPr/>
            </w:r>
          </w:p>
        </w:tc>
        <w:tc>
          <w:tcPr>
            <w:tcW w:w="15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1001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accuracy in all material respects (or, to the extent representations or warranties are qualified by materiality or Material Adverse Effect, in all respects) when made and on the Additional Closing Date of the representations and warranties of the Purchasers contained herein (unless such representation or warranty is as of a specific date therein in which case they shall be accurate in all material respects (or, to the extent representations or warranties are qualified by materiality or Material Adverse Effect, in all respects) as of such date);</w:t>
            </w:r>
          </w:p>
        </w:tc>
      </w:tr>
    </w:tbl>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198" w:name="zbe39c78d64824a3d876a57a5ca3f7517"/>
      <w:bookmarkStart w:id="199" w:name="zbe39c78d64824a3d876a57a5ca3f7517"/>
      <w:bookmarkEnd w:id="199"/>
    </w:p>
    <w:tbl>
      <w:tblPr>
        <w:tblW w:w="10205" w:type="dxa"/>
        <w:jc w:val="left"/>
        <w:tblInd w:w="0" w:type="dxa"/>
        <w:tblLayout w:type="fixed"/>
        <w:tblCellMar>
          <w:top w:w="0" w:type="dxa"/>
          <w:left w:w="0" w:type="dxa"/>
          <w:bottom w:w="0" w:type="dxa"/>
          <w:right w:w="0" w:type="dxa"/>
        </w:tblCellMar>
      </w:tblPr>
      <w:tblGrid>
        <w:gridCol w:w="38"/>
        <w:gridCol w:w="244"/>
        <w:gridCol w:w="9923"/>
      </w:tblGrid>
      <w:tr>
        <w:trPr/>
        <w:tc>
          <w:tcPr>
            <w:tcW w:w="38" w:type="dxa"/>
            <w:tcBorders/>
            <w:vAlign w:val="center"/>
          </w:tcPr>
          <w:p>
            <w:pPr>
              <w:pStyle w:val="TableContents"/>
              <w:bidi w:val="0"/>
              <w:spacing w:before="0" w:after="283"/>
              <w:jc w:val="left"/>
              <w:rPr/>
            </w:pPr>
            <w:r>
              <w:rPr/>
            </w:r>
          </w:p>
        </w:tc>
        <w:tc>
          <w:tcPr>
            <w:tcW w:w="2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992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all obligations, covenants and agreements of each Purchaser required to be performed at or prior to the Additional Closing Date shall have been performed; and</w:t>
            </w:r>
          </w:p>
        </w:tc>
      </w:tr>
    </w:tbl>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200" w:name="z0de0d79db83a40e08f844ccf629e7bbe"/>
      <w:bookmarkStart w:id="201" w:name="z0de0d79db83a40e08f844ccf629e7bbe"/>
      <w:bookmarkEnd w:id="201"/>
    </w:p>
    <w:tbl>
      <w:tblPr>
        <w:tblW w:w="7488" w:type="dxa"/>
        <w:jc w:val="left"/>
        <w:tblInd w:w="0" w:type="dxa"/>
        <w:tblLayout w:type="fixed"/>
        <w:tblCellMar>
          <w:top w:w="0" w:type="dxa"/>
          <w:left w:w="0" w:type="dxa"/>
          <w:bottom w:w="0" w:type="dxa"/>
          <w:right w:w="0" w:type="dxa"/>
        </w:tblCellMar>
      </w:tblPr>
      <w:tblGrid>
        <w:gridCol w:w="38"/>
        <w:gridCol w:w="320"/>
        <w:gridCol w:w="7130"/>
      </w:tblGrid>
      <w:tr>
        <w:trPr/>
        <w:tc>
          <w:tcPr>
            <w:tcW w:w="38" w:type="dxa"/>
            <w:tcBorders/>
            <w:vAlign w:val="center"/>
          </w:tcPr>
          <w:p>
            <w:pPr>
              <w:pStyle w:val="TableContents"/>
              <w:bidi w:val="0"/>
              <w:spacing w:before="0" w:after="283"/>
              <w:jc w:val="left"/>
              <w:rPr/>
            </w:pPr>
            <w:r>
              <w:rPr/>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(iii)</w:t>
            </w:r>
          </w:p>
        </w:tc>
        <w:tc>
          <w:tcPr>
            <w:tcW w:w="713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delivery by each Purchaser of the items set forth in Section 2.5(b) of this Agreement.</w:t>
            </w:r>
          </w:p>
        </w:tc>
      </w:tr>
    </w:tbl>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12</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202" w:name="zf642a101734c417da77c231ba5464f3a"/>
      <w:bookmarkStart w:id="203" w:name="zf642a101734c417da77c231ba5464f3a"/>
      <w:bookmarkEnd w:id="203"/>
    </w:p>
    <w:tbl>
      <w:tblPr>
        <w:tblW w:w="10205" w:type="dxa"/>
        <w:jc w:val="left"/>
        <w:tblInd w:w="0" w:type="dxa"/>
        <w:tblLayout w:type="fixed"/>
        <w:tblCellMar>
          <w:top w:w="0" w:type="dxa"/>
          <w:left w:w="0" w:type="dxa"/>
          <w:bottom w:w="0" w:type="dxa"/>
          <w:right w:w="0" w:type="dxa"/>
        </w:tblCellMar>
      </w:tblPr>
      <w:tblGrid>
        <w:gridCol w:w="38"/>
        <w:gridCol w:w="233"/>
        <w:gridCol w:w="9934"/>
      </w:tblGrid>
      <w:tr>
        <w:trPr/>
        <w:tc>
          <w:tcPr>
            <w:tcW w:w="38" w:type="dxa"/>
            <w:tcBorders/>
            <w:vAlign w:val="center"/>
          </w:tcPr>
          <w:p>
            <w:pPr>
              <w:pStyle w:val="TableContents"/>
              <w:bidi w:val="0"/>
              <w:spacing w:before="0" w:after="283"/>
              <w:jc w:val="left"/>
              <w:rPr/>
            </w:pPr>
            <w:r>
              <w:rPr/>
            </w:r>
          </w:p>
        </w:tc>
        <w:tc>
          <w:tcPr>
            <w:tcW w:w="23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3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respective obligations of the Purchasers hereunder in connection with the Additional Closing are subject to the following conditions being met:</w:t>
            </w:r>
          </w:p>
        </w:tc>
      </w:tr>
    </w:tbl>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204" w:name="zcb1d64cfc0164bbea6a96ef3991454fa"/>
      <w:bookmarkStart w:id="205" w:name="zcb1d64cfc0164bbea6a96ef3991454fa"/>
      <w:bookmarkEnd w:id="205"/>
    </w:p>
    <w:tbl>
      <w:tblPr>
        <w:tblW w:w="10205" w:type="dxa"/>
        <w:jc w:val="left"/>
        <w:tblInd w:w="0" w:type="dxa"/>
        <w:tblLayout w:type="fixed"/>
        <w:tblCellMar>
          <w:top w:w="0" w:type="dxa"/>
          <w:left w:w="0" w:type="dxa"/>
          <w:bottom w:w="0" w:type="dxa"/>
          <w:right w:w="0" w:type="dxa"/>
        </w:tblCellMar>
      </w:tblPr>
      <w:tblGrid>
        <w:gridCol w:w="38"/>
        <w:gridCol w:w="152"/>
        <w:gridCol w:w="10015"/>
      </w:tblGrid>
      <w:tr>
        <w:trPr/>
        <w:tc>
          <w:tcPr>
            <w:tcW w:w="38" w:type="dxa"/>
            <w:tcBorders/>
            <w:vAlign w:val="center"/>
          </w:tcPr>
          <w:p>
            <w:pPr>
              <w:pStyle w:val="TableContents"/>
              <w:bidi w:val="0"/>
              <w:spacing w:before="0" w:after="283"/>
              <w:jc w:val="left"/>
              <w:rPr/>
            </w:pPr>
            <w:r>
              <w:rPr/>
            </w:r>
          </w:p>
        </w:tc>
        <w:tc>
          <w:tcPr>
            <w:tcW w:w="15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1001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accuracy in all material respects (or, to the extent representations or warranties are qualified by materiality or Material Adverse Effect, in all respects) when made and on the Additional Closing Date of the representations and warranties of the Company contained herein (unless such representation or warranty is as of a specific date therein in which case they shall be accurate in all material respects (or, to the extent representations or warranties are qualified by materiality or Material Adverse Effect, in all respects) as of such date);</w:t>
            </w:r>
          </w:p>
        </w:tc>
      </w:tr>
    </w:tbl>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206" w:name="zd6a410c06136442ca733f2350d34e6f3"/>
      <w:bookmarkStart w:id="207" w:name="zd6a410c06136442ca733f2350d34e6f3"/>
      <w:bookmarkEnd w:id="207"/>
    </w:p>
    <w:tbl>
      <w:tblPr>
        <w:tblW w:w="10205" w:type="dxa"/>
        <w:jc w:val="left"/>
        <w:tblInd w:w="0" w:type="dxa"/>
        <w:tblLayout w:type="fixed"/>
        <w:tblCellMar>
          <w:top w:w="0" w:type="dxa"/>
          <w:left w:w="0" w:type="dxa"/>
          <w:bottom w:w="0" w:type="dxa"/>
          <w:right w:w="0" w:type="dxa"/>
        </w:tblCellMar>
      </w:tblPr>
      <w:tblGrid>
        <w:gridCol w:w="38"/>
        <w:gridCol w:w="209"/>
        <w:gridCol w:w="9958"/>
      </w:tblGrid>
      <w:tr>
        <w:trPr/>
        <w:tc>
          <w:tcPr>
            <w:tcW w:w="38" w:type="dxa"/>
            <w:tcBorders/>
            <w:vAlign w:val="center"/>
          </w:tcPr>
          <w:p>
            <w:pPr>
              <w:pStyle w:val="TableContents"/>
              <w:bidi w:val="0"/>
              <w:spacing w:before="0" w:after="283"/>
              <w:jc w:val="left"/>
              <w:rPr/>
            </w:pPr>
            <w:r>
              <w:rPr/>
            </w:r>
          </w:p>
        </w:tc>
        <w:tc>
          <w:tcPr>
            <w:tcW w:w="20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995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either (i) the Company shall have achieved, as of the most recently completed fiscal quarter end for which the Company has publicly filed or furnished financial statements, at least a one hundred fifty percent (150%) increase in ReWalk Unit Sales, measured in U.S. dollars, relative to the trailing twelve</w:t>
              <w:noBreakHyphen/>
              <w:t>month period immediately preceding the Additional Closing Date, or (ii) the closing price of the Company’s Ordinary Shares on the Trading Market equals or exceeds $13.80 per share (which amount may be adjusted for certain capital events, such as stock splits following the date hereof) on each Trading Day during the ten (10) consecutive Trading Days immediately prior to the Additional Closing Date;</w:t>
            </w:r>
          </w:p>
        </w:tc>
      </w:tr>
    </w:tbl>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208" w:name="z250362e5711741aaa2b22c92dc73f92b"/>
      <w:bookmarkStart w:id="209" w:name="z250362e5711741aaa2b22c92dc73f92b"/>
      <w:bookmarkEnd w:id="209"/>
    </w:p>
    <w:tbl>
      <w:tblPr>
        <w:tblW w:w="10205" w:type="dxa"/>
        <w:jc w:val="left"/>
        <w:tblInd w:w="0" w:type="dxa"/>
        <w:tblLayout w:type="fixed"/>
        <w:tblCellMar>
          <w:top w:w="0" w:type="dxa"/>
          <w:left w:w="0" w:type="dxa"/>
          <w:bottom w:w="0" w:type="dxa"/>
          <w:right w:w="0" w:type="dxa"/>
        </w:tblCellMar>
      </w:tblPr>
      <w:tblGrid>
        <w:gridCol w:w="38"/>
        <w:gridCol w:w="306"/>
        <w:gridCol w:w="9861"/>
      </w:tblGrid>
      <w:tr>
        <w:trPr/>
        <w:tc>
          <w:tcPr>
            <w:tcW w:w="38" w:type="dxa"/>
            <w:tcBorders/>
            <w:vAlign w:val="center"/>
          </w:tcPr>
          <w:p>
            <w:pPr>
              <w:pStyle w:val="TableContents"/>
              <w:bidi w:val="0"/>
              <w:spacing w:before="0" w:after="283"/>
              <w:jc w:val="left"/>
              <w:rPr/>
            </w:pPr>
            <w:r>
              <w:rPr/>
            </w:r>
          </w:p>
        </w:tc>
        <w:tc>
          <w:tcPr>
            <w:tcW w:w="30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(iii)</w:t>
            </w:r>
          </w:p>
        </w:tc>
        <w:tc>
          <w:tcPr>
            <w:tcW w:w="986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all obligations, covenants and agreements of the Company required to be performed at or prior to the Additional Closing Date shall have been performed;</w:t>
            </w:r>
          </w:p>
        </w:tc>
      </w:tr>
    </w:tbl>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210" w:name="z183ec780a75e4a7e8f9e530f8e018ff0"/>
      <w:bookmarkStart w:id="211" w:name="z183ec780a75e4a7e8f9e530f8e018ff0"/>
      <w:bookmarkEnd w:id="211"/>
    </w:p>
    <w:tbl>
      <w:tblPr>
        <w:tblW w:w="7368" w:type="dxa"/>
        <w:jc w:val="left"/>
        <w:tblInd w:w="0" w:type="dxa"/>
        <w:tblLayout w:type="fixed"/>
        <w:tblCellMar>
          <w:top w:w="0" w:type="dxa"/>
          <w:left w:w="0" w:type="dxa"/>
          <w:bottom w:w="0" w:type="dxa"/>
          <w:right w:w="0" w:type="dxa"/>
        </w:tblCellMar>
      </w:tblPr>
      <w:tblGrid>
        <w:gridCol w:w="38"/>
        <w:gridCol w:w="305"/>
        <w:gridCol w:w="7025"/>
      </w:tblGrid>
      <w:tr>
        <w:trPr/>
        <w:tc>
          <w:tcPr>
            <w:tcW w:w="38" w:type="dxa"/>
            <w:tcBorders/>
            <w:vAlign w:val="center"/>
          </w:tcPr>
          <w:p>
            <w:pPr>
              <w:pStyle w:val="TableContents"/>
              <w:bidi w:val="0"/>
              <w:spacing w:before="0" w:after="283"/>
              <w:jc w:val="left"/>
              <w:rPr/>
            </w:pPr>
            <w:r>
              <w:rPr/>
            </w:r>
          </w:p>
        </w:tc>
        <w:tc>
          <w:tcPr>
            <w:tcW w:w="3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(iv)</w:t>
            </w:r>
          </w:p>
        </w:tc>
        <w:tc>
          <w:tcPr>
            <w:tcW w:w="702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delivery by the Company of the items set forth in Section 2.5(a) of this Agreement;</w:t>
            </w:r>
          </w:p>
        </w:tc>
      </w:tr>
    </w:tbl>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212" w:name="z82bec10140a946b983e7d06c49f177c7"/>
      <w:bookmarkStart w:id="213" w:name="z82bec10140a946b983e7d06c49f177c7"/>
      <w:bookmarkEnd w:id="213"/>
    </w:p>
    <w:tbl>
      <w:tblPr>
        <w:tblW w:w="7128" w:type="dxa"/>
        <w:jc w:val="left"/>
        <w:tblInd w:w="0" w:type="dxa"/>
        <w:tblLayout w:type="fixed"/>
        <w:tblCellMar>
          <w:top w:w="0" w:type="dxa"/>
          <w:left w:w="0" w:type="dxa"/>
          <w:bottom w:w="0" w:type="dxa"/>
          <w:right w:w="0" w:type="dxa"/>
        </w:tblCellMar>
      </w:tblPr>
      <w:tblGrid>
        <w:gridCol w:w="38"/>
        <w:gridCol w:w="245"/>
        <w:gridCol w:w="6845"/>
      </w:tblGrid>
      <w:tr>
        <w:trPr/>
        <w:tc>
          <w:tcPr>
            <w:tcW w:w="38" w:type="dxa"/>
            <w:tcBorders/>
            <w:vAlign w:val="center"/>
          </w:tcPr>
          <w:p>
            <w:pPr>
              <w:pStyle w:val="TableContents"/>
              <w:bidi w:val="0"/>
              <w:spacing w:before="0" w:after="283"/>
              <w:jc w:val="left"/>
              <w:rPr/>
            </w:pPr>
            <w:r>
              <w:rPr/>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w:t>
            </w:r>
          </w:p>
        </w:tc>
        <w:tc>
          <w:tcPr>
            <w:tcW w:w="684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no Event of Default (as defined in the Notes) shall have occurred and be continuing;</w:t>
            </w:r>
          </w:p>
        </w:tc>
      </w:tr>
    </w:tbl>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214" w:name="za80d5828e67b4464b479fa552c1d57d0"/>
      <w:bookmarkStart w:id="215" w:name="za80d5828e67b4464b479fa552c1d57d0"/>
      <w:bookmarkEnd w:id="215"/>
    </w:p>
    <w:tbl>
      <w:tblPr>
        <w:tblW w:w="10205" w:type="dxa"/>
        <w:jc w:val="left"/>
        <w:tblInd w:w="0" w:type="dxa"/>
        <w:tblLayout w:type="fixed"/>
        <w:tblCellMar>
          <w:top w:w="0" w:type="dxa"/>
          <w:left w:w="0" w:type="dxa"/>
          <w:bottom w:w="0" w:type="dxa"/>
          <w:right w:w="0" w:type="dxa"/>
        </w:tblCellMar>
      </w:tblPr>
      <w:tblGrid>
        <w:gridCol w:w="38"/>
        <w:gridCol w:w="287"/>
        <w:gridCol w:w="9880"/>
      </w:tblGrid>
      <w:tr>
        <w:trPr/>
        <w:tc>
          <w:tcPr>
            <w:tcW w:w="38" w:type="dxa"/>
            <w:tcBorders/>
            <w:vAlign w:val="center"/>
          </w:tcPr>
          <w:p>
            <w:pPr>
              <w:pStyle w:val="TableContents"/>
              <w:bidi w:val="0"/>
              <w:spacing w:before="0" w:after="283"/>
              <w:jc w:val="left"/>
              <w:rPr/>
            </w:pPr>
            <w:r>
              <w:rPr/>
            </w:r>
          </w:p>
        </w:tc>
        <w:tc>
          <w:tcPr>
            <w:tcW w:w="28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(vi)</w:t>
            </w:r>
          </w:p>
        </w:tc>
        <w:tc>
          <w:tcPr>
            <w:tcW w:w="988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there shall have been no Material Adverse Effect with respect to the Company since the date of the latest audited financial statements included within the SEC Reports;</w:t>
            </w:r>
          </w:p>
        </w:tc>
      </w:tr>
    </w:tbl>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216" w:name="z2ba339bb7f014f6b88f49fecd5f9dfbe"/>
      <w:bookmarkStart w:id="217" w:name="z2ba339bb7f014f6b88f49fecd5f9dfbe"/>
      <w:bookmarkEnd w:id="217"/>
    </w:p>
    <w:tbl>
      <w:tblPr>
        <w:tblW w:w="10205" w:type="dxa"/>
        <w:jc w:val="left"/>
        <w:tblInd w:w="0" w:type="dxa"/>
        <w:tblLayout w:type="fixed"/>
        <w:tblCellMar>
          <w:top w:w="0" w:type="dxa"/>
          <w:left w:w="0" w:type="dxa"/>
          <w:bottom w:w="0" w:type="dxa"/>
          <w:right w:w="0" w:type="dxa"/>
        </w:tblCellMar>
      </w:tblPr>
      <w:tblGrid>
        <w:gridCol w:w="38"/>
        <w:gridCol w:w="312"/>
        <w:gridCol w:w="9855"/>
      </w:tblGrid>
      <w:tr>
        <w:trPr/>
        <w:tc>
          <w:tcPr>
            <w:tcW w:w="38" w:type="dxa"/>
            <w:tcBorders/>
            <w:vAlign w:val="center"/>
          </w:tcPr>
          <w:p>
            <w:pPr>
              <w:pStyle w:val="TableContents"/>
              <w:bidi w:val="0"/>
              <w:spacing w:before="0" w:after="283"/>
              <w:jc w:val="left"/>
              <w:rPr/>
            </w:pPr>
            <w:r>
              <w:rPr/>
            </w:r>
          </w:p>
        </w:tc>
        <w:tc>
          <w:tcPr>
            <w:tcW w:w="31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(vii)</w:t>
            </w:r>
          </w:p>
        </w:tc>
        <w:tc>
          <w:tcPr>
            <w:tcW w:w="985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from the date hereof to the Initial Closing Date, trading in the Ordinary Shares shall not have been suspended by the Commission or the Company’s principal Trading Market and, at any time prior to the Initial Closing Date, trading in securities generally as reported by Bloomberg L.P. shall not have been suspended or limited, or minimum prices shall not have been established on securities whose trades are reported by such service, or on any Trading Market, nor shall a banking moratorium have been declared either by the United States or New York State authorities nor shall there have occurred any material outbreak or escalation of hostilities or other national or international calamity of such magnitude in its effect on, or any material adverse change in, any financial market which, in each case, in the reasonable judgment of such Purchaser, makes it impracticable or inadvisable to purchase the Securities at the Initial Closing.</w:t>
            </w:r>
          </w:p>
        </w:tc>
      </w:tr>
    </w:tbl>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13</w:t>
      </w:r>
    </w:p>
    <w:p>
      <w:pPr>
        <w:pStyle w:val="HorizontalLine"/>
        <w:pBdr>
          <w:bottom w:val="single" w:sz="12" w:space="0" w:color="808080"/>
        </w:pBdr>
        <w:bidi w:val="0"/>
        <w:spacing w:before="200" w:after="200"/>
        <w:jc w:val="left"/>
        <w:rPr/>
      </w:pPr>
      <w:r>
        <w:rPr/>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ARTICLE III.</w:t>
        <w:br/>
        <w:t>REPRESENTATIONS AND WARRANTIES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3.1          </w:t>
      </w:r>
      <w:r>
        <w:rPr>
          <w:rFonts w:ascii="Times New Roman;Times;serif" w:hAnsi="Times New Roman;Times;serif"/>
          <w:color w:val="000000"/>
          <w:sz w:val="20"/>
          <w:u w:val="single"/>
        </w:rPr>
        <w:t>Representations and Warranties of the Company</w:t>
      </w:r>
      <w:r>
        <w:rPr>
          <w:rFonts w:ascii="Times New Roman;Times;serif" w:hAnsi="Times New Roman;Times;serif"/>
          <w:color w:val="000000"/>
          <w:sz w:val="20"/>
        </w:rPr>
        <w:t>. Except as set forth in the SEC Reports and the Disclosure Schedules, which SEC Reports and Disclosure Schedules shall be deemed a part hereof and shall qualify any representation or otherwise made herein to the extent of the disclosure contained in the corresponding section of the Disclosure Schedules, the Company hereby makes the following representations and warranties to each Purchaser:</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(a)          </w:t>
      </w:r>
      <w:r>
        <w:rPr>
          <w:rFonts w:ascii="Times New Roman;Times;serif" w:hAnsi="Times New Roman;Times;serif"/>
          <w:color w:val="000000"/>
          <w:sz w:val="20"/>
          <w:u w:val="single"/>
        </w:rPr>
        <w:t>Subsidiaries</w:t>
      </w:r>
      <w:r>
        <w:rPr>
          <w:rFonts w:ascii="Times New Roman;Times;serif" w:hAnsi="Times New Roman;Times;serif"/>
          <w:color w:val="000000"/>
          <w:sz w:val="20"/>
        </w:rPr>
        <w:t>. All of the direct and indirect subsidiaries of the Company are set forth in the SEC Reports. The Company owns, directly or indirectly, all of the capital stock or other equity interests of each Subsidiary free and clear of any Liens (other than Permitted Liens), and all of the issued and outstanding shares of capital stock of each Subsidiary are validly issued and are fully paid, non-assessable and free of preemptive and similar rights to subscribe for or purchase securities.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(b)          </w:t>
      </w:r>
      <w:r>
        <w:rPr>
          <w:rFonts w:ascii="Times New Roman;Times;serif" w:hAnsi="Times New Roman;Times;serif"/>
          <w:color w:val="000000"/>
          <w:sz w:val="20"/>
          <w:u w:val="single"/>
        </w:rPr>
        <w:t>Organization and Qualification</w:t>
      </w:r>
      <w:r>
        <w:rPr>
          <w:rFonts w:ascii="Times New Roman;Times;serif" w:hAnsi="Times New Roman;Times;serif"/>
          <w:color w:val="000000"/>
          <w:sz w:val="20"/>
        </w:rPr>
        <w:t>. Each of the Company and the Subsidiaries is an entity duly incorporated or otherwise organized, validly existing and in good standing (if applicable in such jurisdiction) under the laws of the jurisdiction of its incorporation or organization, with the requisite power and authority to own and use its properties and assets and to carry on its business as currently conducted. Neither the Company nor any Subsidiary is in violation nor default of any of the provisions of its respective constitutional documents, bylaws or other organizational or charter documents. Each of the Company and the Subsidiaries is duly qualified to conduct business and is in good standing as a foreign corporation or other entity in each jurisdiction in which the nature of the business conducted or property owned by it makes such qualification necessary, except where the failure to be so qualified or in good standing, as the case may be, would not have or reasonably be expected to result in: (i) a material adverse effect on the legality, validity or enforceability of the Transaction Documents, (ii) a material adverse effect on the results of operations, assets, business, prospects or financial condition of the Company and the Subsidiaries, taken as a whole, or (iii) a material adverse effect on the Company’s ability to perform in any material respect on a timely basis its obligations under the Transaction Documents (any of (i), (ii) or (iii), a “</w:t>
      </w:r>
      <w:r>
        <w:rPr>
          <w:rFonts w:ascii="Times New Roman;Times;serif" w:hAnsi="Times New Roman;Times;serif"/>
          <w:color w:val="000000"/>
          <w:sz w:val="20"/>
          <w:u w:val="single"/>
        </w:rPr>
        <w:t>Material Adverse Effect</w:t>
      </w:r>
      <w:r>
        <w:rPr>
          <w:rFonts w:ascii="Times New Roman;Times;serif" w:hAnsi="Times New Roman;Times;serif"/>
          <w:color w:val="000000"/>
          <w:sz w:val="20"/>
        </w:rPr>
        <w:t>”), and, to the Company’s knowledge, no Proceeding has been instituted in any such jurisdiction revoking, limiting or curtailing or seeking to revoke, limit or curtail such power and authority or qualification.</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(c)          </w:t>
      </w:r>
      <w:r>
        <w:rPr>
          <w:rFonts w:ascii="Times New Roman;Times;serif" w:hAnsi="Times New Roman;Times;serif"/>
          <w:color w:val="000000"/>
          <w:sz w:val="20"/>
          <w:u w:val="single"/>
        </w:rPr>
        <w:t>Authorization; Enforcement</w:t>
      </w:r>
      <w:r>
        <w:rPr>
          <w:rFonts w:ascii="Times New Roman;Times;serif" w:hAnsi="Times New Roman;Times;serif"/>
          <w:color w:val="000000"/>
          <w:sz w:val="20"/>
        </w:rPr>
        <w:t>. The Company has the requisite corporate power and authority to enter into and to consummate the transactions contemplated by this Agreement and each of the other Transaction Documents and otherwise to carry out its obligations hereunder and thereunder. The execution and delivery of this Agreement and each of the other Transaction Documents by the Company and the consummation by it of the transactions contemplated hereby and thereby have been duly authorized by all necessary action on the part of the Company and no further action is required by the Company, the Board of Directors or the Company’s shareholders in connection herewith or therewith other than in connection with the Required Approvals. This Agreement and each other Transaction Document to which it is a party has been (or upon delivery will have been) duly executed by the Company and, when delivered in accordance with the terms hereof and thereof, will constitute the valid and binding obligation of the Company enforceable against the Company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(d)          </w:t>
      </w:r>
      <w:r>
        <w:rPr>
          <w:rFonts w:ascii="Times New Roman;Times;serif" w:hAnsi="Times New Roman;Times;serif"/>
          <w:color w:val="000000"/>
          <w:sz w:val="20"/>
          <w:u w:val="single"/>
        </w:rPr>
        <w:t>No Conflicts</w:t>
      </w:r>
      <w:r>
        <w:rPr>
          <w:rFonts w:ascii="Times New Roman;Times;serif" w:hAnsi="Times New Roman;Times;serif"/>
          <w:color w:val="000000"/>
          <w:sz w:val="20"/>
        </w:rPr>
        <w:t>. The execution, delivery and performance by the Company of this Agreement and the other Transaction Documents to which it is a party, the issuance and sale of the Securities and the consummation by it of the transactions contemplated hereby and thereby do not and will not (i) conflict with or violate any provision of the Company’s or any Subsidiary’s constitutional documents, bylaws or other organizational or charter documents, or (ii) conflict with, or constitute a default (or an event that with notice or lapse of time or both would become a default) under, result in the creation of any Lien (other than a Permitted Lien) upon any of the properties or assets of the Company or any Subsidiary, or give to others any rights of termination, amendment, anti-dilution or similar adjustments, acceleration or cancellation (with or without notice, lapse of time or both) of, any agreement, credit facility, debt or other instrument (evidencing a Company or Subsidiary debt or otherwise) or other understanding to which the Company or any Subsidiary is a party or by which any property or asset of the Company or any Subsidiary is bound or affected, or (iii) subject to the Required Approvals, conflict with or result in a violation of any law, rule, regulation, order, judgment, injunction, decree or other restriction of any court or governmental authority to which the Company or a Subsidiary is subject (including federal and state securities laws and regulations), or by which any property or asset of the Company or a Subsidiary is bound or affected; except in the case of each of clauses (ii) and (iii), such as would not, individually or in the aggregate, have or reasonably be expected to result in a Material Adverse Effect.</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14</w:t>
      </w:r>
    </w:p>
    <w:p>
      <w:pPr>
        <w:pStyle w:val="HorizontalLine"/>
        <w:pBdr>
          <w:bottom w:val="single" w:sz="12" w:space="0" w:color="808080"/>
        </w:pBdr>
        <w:bidi w:val="0"/>
        <w:spacing w:before="200" w:after="200"/>
        <w:jc w:val="left"/>
        <w:rPr/>
      </w:pPr>
      <w:r>
        <w:rPr/>
      </w:r>
    </w:p>
    <w:p>
      <w:pPr>
        <w:pStyle w:val="TextBody"/>
        <w:bidi w:val="0"/>
        <w:spacing w:lineRule="auto" w:line="300"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(e)          </w:t>
      </w:r>
      <w:r>
        <w:rPr>
          <w:rFonts w:ascii="Times New Roman;Times;serif" w:hAnsi="Times New Roman;Times;serif"/>
          <w:color w:val="000000"/>
          <w:sz w:val="20"/>
          <w:u w:val="single"/>
        </w:rPr>
        <w:t>Filings, Consents and Approvals</w:t>
      </w:r>
      <w:r>
        <w:rPr>
          <w:rFonts w:ascii="Times New Roman;Times;serif" w:hAnsi="Times New Roman;Times;serif"/>
          <w:color w:val="000000"/>
          <w:sz w:val="20"/>
        </w:rPr>
        <w:t>. Except for a filing with the Israel Innovation Authority and a filing with the Bank of Israel with respect to the amounts to be received by the Company pursuant to this Agreement, the Company is not required to obtain any consent, waiver, authorization or order of, give any notice to, or make any filing or registration with, any court or other federal, state, local or other governmental authority or other Person in connection with the execution, delivery and performance by the Company of the Transaction Documents, other than: (i) the filings required pursuant to Section 4.6 of this Agreement, (ii) the notice and/or application(s) to each applicable Trading Market for the issuance and sale of the Securities and the listing of the Underlying Shares for trading thereon in the time and manner required thereby, (iii) the filing of Form D with the Commission and such filings as are required to be made under applicable state securities laws, (iv) filings to be made under the Security Documents, and (v) the Shareholder Approval (collectively, the “</w:t>
      </w:r>
      <w:r>
        <w:rPr>
          <w:rFonts w:ascii="Times New Roman;Times;serif" w:hAnsi="Times New Roman;Times;serif"/>
          <w:color w:val="000000"/>
          <w:sz w:val="20"/>
          <w:u w:val="single"/>
        </w:rPr>
        <w:t>Required Approvals</w:t>
      </w:r>
      <w:r>
        <w:rPr>
          <w:rFonts w:ascii="Times New Roman;Times;serif" w:hAnsi="Times New Roman;Times;serif"/>
          <w:color w:val="000000"/>
          <w:sz w:val="20"/>
        </w:rPr>
        <w:t>”).</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(f)          </w:t>
      </w:r>
      <w:r>
        <w:rPr>
          <w:rFonts w:ascii="Times New Roman;Times;serif" w:hAnsi="Times New Roman;Times;serif"/>
          <w:color w:val="000000"/>
          <w:sz w:val="20"/>
          <w:u w:val="single"/>
        </w:rPr>
        <w:t>Issuance of the Securities</w:t>
      </w:r>
      <w:r>
        <w:rPr>
          <w:rFonts w:ascii="Times New Roman;Times;serif" w:hAnsi="Times New Roman;Times;serif"/>
          <w:color w:val="000000"/>
          <w:sz w:val="20"/>
        </w:rPr>
        <w:t>. The Warrants and the Notes are duly authorized and, when paid for and issued in accordance with this Agreement, will constitute valid and binding obligations of the Company, enforceable against the Company in accordance with their terms, except as such enforceability may be limited by bankruptcy, insolvency, reorganization or similar laws affecting the rights of creditors generally and subject to general principles of equity. The Underlying Shares are duly authorized and, when issued and delivered upon conversion or exercise, as applicable, in accordance with the terms of the applicable Transaction Documents, will be validly issued, fully paid and nonassessable, free and clear of all Liens imposed by the Company other than restrictions on transfer provided for in the Transaction Documents. The Company has reserved from its duly authorized share capital  a number of Ordinary Shares for issuance of the Underlying Shares at least equal to the Required Minimum on the date hereof.</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(g)          </w:t>
      </w:r>
      <w:r>
        <w:rPr>
          <w:rFonts w:ascii="Times New Roman;Times;serif" w:hAnsi="Times New Roman;Times;serif"/>
          <w:color w:val="000000"/>
          <w:sz w:val="20"/>
          <w:u w:val="single"/>
        </w:rPr>
        <w:t>Capitalization</w:t>
      </w:r>
      <w:r>
        <w:rPr>
          <w:rFonts w:ascii="Times New Roman;Times;serif" w:hAnsi="Times New Roman;Times;serif"/>
          <w:color w:val="000000"/>
          <w:sz w:val="20"/>
        </w:rPr>
        <w:t>. The capitalization of the Company as of the date hereof is as set forth in the SEC Reports. The Company has not issued any share capital since its most recently filed periodic report under the Exchange Act, other than the award of options pursuant to Nasdaq Listing Rule 5635(c), pursuant to the exercise of share options or RSUs under the Company’s incentive share plans, the issuance of Ordinary Shares pursuant to the Company’s incentive share plans and pursuant to the conversion and/or exercise of Ordinary Share Equivalents outstanding as of the date of the most recently filed periodic report under the Exchange Act. No Person has any right of first refusal, preemptive right, right of participation, or any similar right to participate in the transactions contemplated by the Transaction Documents. Except as a result of the purchase and sale of the Securities and as set forth in the SEC Reports, there are no outstanding options, warrants, scrip rights to subscribe to, calls or commitments of any character whatsoever relating to, or securities, rights or obligations convertible into or exercisable or exchangeable for, or giving any Person any right to subscribe for or acquire, any Ordinary Shares or the capital stock of any Subsidiary, or contracts, commitments, understandings or arrangements by which the Company or any Subsidiary is or may become bound to issue additional Ordinary Shares or Ordinary Share Equivalents or capital stock of any Subsidiary. The issuance and sale of the Securities will not obligate the Company or any Subsidiary to issue Ordinary Shares or other securities to any Person (other than the Purchasers). There are no outstanding securities or instruments of the Company or any Subsidiary with any provision that adjusts the exercise, conversion, exchange or reset price of such security or instrument upon an issuance of securities by the Company or any Subsidiary. Except as set forth on Schedule 3.1(g), there are no outstanding securities or instruments of the Company or any Subsidiary that contain any redemption or similar provisions, and there are no contracts, commitments, understandings or arrangements by which the Company or any Subsidiary is or may become bound to redeem a security of the Company or such Subsidiary. The Company does not have any stock appreciation rights or “phantom stock” plans or agreements or any similar plan or agreement. All of the outstanding shares of the share capital of the Company are duly authorized, validly issued, fully paid and nonassessable, have been issued in compliance with all federal and state securities laws, and none of such outstanding shares was issued in violation of any preemptive rights or similar rights to subscribe for or purchase securities. No further approval or authorization of any shareholder, the Board of Directors or others is required for the issuance and sale of the Securities (other than the Required Approvals). There are no shareholders agreements, voting agreements or other similar agreements with respect to the Company’s share capital to which the Company is a party or, to the knowledge of the Company, between or among any of the Company’s shareholders, as applicable.</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15</w:t>
      </w:r>
    </w:p>
    <w:p>
      <w:pPr>
        <w:pStyle w:val="HorizontalLine"/>
        <w:pBdr>
          <w:bottom w:val="single" w:sz="12" w:space="0" w:color="808080"/>
        </w:pBdr>
        <w:bidi w:val="0"/>
        <w:spacing w:before="200" w:after="200"/>
        <w:jc w:val="left"/>
        <w:rPr/>
      </w:pPr>
      <w:r>
        <w:rPr/>
      </w:r>
    </w:p>
    <w:p>
      <w:pPr>
        <w:pStyle w:val="TextBody"/>
        <w:bidi w:val="0"/>
        <w:spacing w:lineRule="auto" w:line="300"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(h)          </w:t>
      </w:r>
      <w:r>
        <w:rPr>
          <w:rFonts w:ascii="Times New Roman;Times;serif" w:hAnsi="Times New Roman;Times;serif"/>
          <w:color w:val="000000"/>
          <w:sz w:val="20"/>
          <w:u w:val="single"/>
        </w:rPr>
        <w:t>SEC Reports; Financial Statements</w:t>
      </w:r>
      <w:r>
        <w:rPr>
          <w:rFonts w:ascii="Times New Roman;Times;serif" w:hAnsi="Times New Roman;Times;serif"/>
          <w:color w:val="000000"/>
          <w:sz w:val="20"/>
        </w:rPr>
        <w:t>. The Company has filed all reports, schedules, forms, statements and other documents required to be filed by the Company under the Securities Act and the Exchange Act, including pursuant to Section 13(a) or 15(d) thereof, for the two (2) years preceding the date hereof (or such shorter period as the Company was required by law or regulation to file such material) (the foregoing materials, including the exhibits thereto and documents incorporated by reference therein, being collectively referred to herein as the “</w:t>
      </w:r>
      <w:r>
        <w:rPr>
          <w:rFonts w:ascii="Times New Roman;Times;serif" w:hAnsi="Times New Roman;Times;serif"/>
          <w:color w:val="000000"/>
          <w:sz w:val="20"/>
          <w:u w:val="single"/>
        </w:rPr>
        <w:t>SEC Reports</w:t>
      </w:r>
      <w:r>
        <w:rPr>
          <w:rFonts w:ascii="Times New Roman;Times;serif" w:hAnsi="Times New Roman;Times;serif"/>
          <w:color w:val="000000"/>
          <w:sz w:val="20"/>
        </w:rPr>
        <w:t>”) on a timely basis or has received a valid extension of such time of filing and has filed any such SEC Reports prior to the expiration of any such extension. As of their respective dates, the SEC Reports complied in all material respects with the requirements of the Securities Act and the Exchange Act, as applicable, and none of the SEC Reports, when filed, contained any untrue statement of a material fact or omitted to state a material fact required to be stated therein or necessary in order to make the statements therein, in the light of the circumstances under which they were made, not misleading. The financial statements of the Company included in the SEC Reports comply in all material respects with applicable accounting requirements and the rules and regulations of the Commission with respect thereto as in effect at the time of filing. Such financial statements have been prepared in accordance with GAAP, except as may be otherwise specified in such financial statements or the notes thereto and except that unaudited financial statements may not contain all footnotes required by GAAP, and fairly present in all material respects the financial position of the Company and its consolidated Subsidiaries as of and for the dates thereof and the results of operations and cash flows for the periods then ended, subject, in the case of unaudited statements, to normal, immaterial, year-end audit adjustments.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(i)          </w:t>
      </w:r>
      <w:r>
        <w:rPr>
          <w:rFonts w:ascii="Times New Roman;Times;serif" w:hAnsi="Times New Roman;Times;serif"/>
          <w:color w:val="000000"/>
          <w:sz w:val="20"/>
          <w:u w:val="single"/>
        </w:rPr>
        <w:t>Material Changes; Undisclosed Events, Liabilities or Developments</w:t>
      </w:r>
      <w:r>
        <w:rPr>
          <w:rFonts w:ascii="Times New Roman;Times;serif" w:hAnsi="Times New Roman;Times;serif"/>
          <w:color w:val="000000"/>
          <w:sz w:val="20"/>
        </w:rPr>
        <w:t>. Since the date of the latest audited financial statements included within the SEC Reports, (i) there has been no event, occurrence or development that has had or that would reasonably be expected to result in a Material Adverse Effect, (ii) the Company has not incurred any liabilities (contingent or otherwise) other than (A) trade payables and accrued expenses incurred in the ordinary course of business consistent with past practice, including such past due trade payables and accrued expenses set forth on Schedule 3.1(i), and (B) liabilities not required to be reflected in the Company’s financial statements pursuant to GAAP or disclosed in filings made with the Commission, and liabilities permitted to be incurred pursuant to the terms of this Agreement and the Notes, (iii) the Company has not altered its method of accounting in any material respect except as disclosed in writing to the Purchasers, (iv) the Company has not declared or made any dividend or distribution of cash or other property to its shareholders or purchased, redeemed or made any agreements to purchase or redeem any shares of its share capital except as permitted pursuant to the terms of this Agreement and the Notes, and (v) the Company has not issued any equity securities to any officer, director or Affiliate, except pursuant to existing Company share incentive plans and pursuant to inducement awards granted under Nasdaq Listing Rule 5635(c)(4). The Company does not have pending before the Commission any request for confidential treatment of information. Except for the issuance of the Securities contemplated by this Agreement, no event, liability, fact, circumstance, occurrence or development has occurred or exists or is reasonably expected to occur or exist with respect to the Company or its Subsidiaries or their respective businesses, prospects, properties, operations, assets or financial condition, that would be required to be disclosed by the Company under applicable securities laws at the time this representation is made or deemed made that has not been publicly disclosed prior to the time that this Agreement is executed and delivered.</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(j)          </w:t>
      </w:r>
      <w:r>
        <w:rPr>
          <w:rFonts w:ascii="Times New Roman;Times;serif" w:hAnsi="Times New Roman;Times;serif"/>
          <w:color w:val="000000"/>
          <w:sz w:val="20"/>
          <w:u w:val="single"/>
        </w:rPr>
        <w:t>Litigation</w:t>
      </w:r>
      <w:r>
        <w:rPr>
          <w:rFonts w:ascii="Times New Roman;Times;serif" w:hAnsi="Times New Roman;Times;serif"/>
          <w:color w:val="000000"/>
          <w:sz w:val="20"/>
        </w:rPr>
        <w:t>. Except as set forth in the SEC Reports, there is no material action, suit, inquiry, notice of violation, proceeding or investigation pending or, to the knowledge of the Company, threatened against or affecting the Company, any Subsidiary or any of their respective properties before or by any court, arbitrator, governmental or administrative agency or regulatory authority (federal, state, county, local or foreign) (collectively, an “</w:t>
      </w:r>
      <w:r>
        <w:rPr>
          <w:rFonts w:ascii="Times New Roman;Times;serif" w:hAnsi="Times New Roman;Times;serif"/>
          <w:color w:val="000000"/>
          <w:sz w:val="20"/>
          <w:u w:val="single"/>
        </w:rPr>
        <w:t>Action</w:t>
      </w:r>
      <w:r>
        <w:rPr>
          <w:rFonts w:ascii="Times New Roman;Times;serif" w:hAnsi="Times New Roman;Times;serif"/>
          <w:color w:val="000000"/>
          <w:sz w:val="20"/>
        </w:rPr>
        <w:t>”). None of the Actions set forth in the SEC Reports (i) adversely affects or challenges the legality, validity or enforceability of any of the Transaction Documents or the Securities or (ii) could, if there were an unfavorable decision, have or reasonably be expected to result in a Material Adverse Effect. Neither the Company nor any Subsidiary, nor any director or officer thereof, is or has been the subject of any Action involving a claim of violation of or liability under federal or state securities laws or a claim of breach of fiduciary duty. There has not been, and to the knowledge of the Company, there is not pending or contemplated, any investigation by the Commission involving the Company or any current or former director or officer of the Company. The Commission has not issued any stop order or other order suspending the effectiveness of any registration statement filed by the Company or any Subsidiary under the Exchange Act or the Securities Act.</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16</w:t>
      </w:r>
    </w:p>
    <w:p>
      <w:pPr>
        <w:pStyle w:val="HorizontalLine"/>
        <w:pBdr>
          <w:bottom w:val="single" w:sz="12" w:space="0" w:color="808080"/>
        </w:pBdr>
        <w:bidi w:val="0"/>
        <w:spacing w:before="200" w:after="200"/>
        <w:jc w:val="left"/>
        <w:rPr/>
      </w:pPr>
      <w:r>
        <w:rPr/>
      </w:r>
    </w:p>
    <w:p>
      <w:pPr>
        <w:pStyle w:val="TextBody"/>
        <w:bidi w:val="0"/>
        <w:spacing w:lineRule="auto" w:line="300"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(k)          </w:t>
      </w:r>
      <w:r>
        <w:rPr>
          <w:rFonts w:ascii="Times New Roman;Times;serif" w:hAnsi="Times New Roman;Times;serif"/>
          <w:color w:val="000000"/>
          <w:sz w:val="20"/>
          <w:u w:val="single"/>
        </w:rPr>
        <w:t>Labor Relations</w:t>
      </w:r>
      <w:r>
        <w:rPr>
          <w:rFonts w:ascii="Times New Roman;Times;serif" w:hAnsi="Times New Roman;Times;serif"/>
          <w:color w:val="000000"/>
          <w:sz w:val="20"/>
        </w:rPr>
        <w:t>. No labor dispute exists or, to the knowledge of the Company, is imminent with respect to any of the employees of the Company, which would reasonably be expected to result in a Material Adverse Effect. None of the Company’s or its Subsidiaries’ employees is a member of a union that relates to such employee’s relationship with the Company or such Subsidiary, and neither the Company nor any of its Subsidiaries is a party to a collective bargaining agreement. To the knowledge of the Company, no executive officer of the Company or any Subsidiary, is in violation of any material term of any employment contract, confidentiality, disclosure or proprietary information agreement or non-competition agreement, or any other employment contract or any material restrictive covenant in favor of any third party, and the continued employment of each such executive officer does not, to the knowledge of the Company, subject the Company or any of its Subsidiaries to any material liability with respect to any of the foregoing matters. The Company and its Subsidiaries are in compliance with all U.S. federal, state, local and foreign laws and regulations relating to employment and employment practices, terms and conditions of employment and wages and hours, except where the failure to be in compliance would not, individually or in the aggregate, reasonably be expected to have a Material Adverse Effect.</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(l)          </w:t>
      </w:r>
      <w:r>
        <w:rPr>
          <w:rFonts w:ascii="Times New Roman;Times;serif" w:hAnsi="Times New Roman;Times;serif"/>
          <w:color w:val="000000"/>
          <w:sz w:val="20"/>
          <w:u w:val="single"/>
        </w:rPr>
        <w:t>Compliance</w:t>
      </w:r>
      <w:r>
        <w:rPr>
          <w:rFonts w:ascii="Times New Roman;Times;serif" w:hAnsi="Times New Roman;Times;serif"/>
          <w:color w:val="000000"/>
          <w:sz w:val="20"/>
        </w:rPr>
        <w:t>. Neither the Company nor any Subsidiary: (i) is in default under or in violation of (and no event has occurred that has not been waived that, with notice or lapse of time or both, would result in a default by the Company or any Subsidiary under), nor has the Company or any Subsidiary received notice of a claim that it is in default under or that it is in violation of, any indenture, loan or credit agreement or any other agreement or instrument to which it is a party or by which it or any of its properties is bound (whether or not such default or violation has been waived), (ii) is in violation of any judgment, decree or order of any court, arbitrator or other governmental authority or (iii) is or has been in violation of any statute, rule, ordinance or regulation of any governmental authority, including without limitation all foreign, federal, state and local laws relating to taxes, environmental protection, occupational health and safety, product quality and safety and employment and labor matters, except in each case of clauses (i), (ii) and (iii), as would not have or reasonably be expected to result in a Material Adverse Effect.</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(m)          </w:t>
      </w:r>
      <w:r>
        <w:rPr>
          <w:rFonts w:ascii="Times New Roman;Times;serif" w:hAnsi="Times New Roman;Times;serif"/>
          <w:color w:val="000000"/>
          <w:sz w:val="20"/>
          <w:u w:val="single"/>
        </w:rPr>
        <w:t>Environmental Laws</w:t>
      </w:r>
      <w:r>
        <w:rPr>
          <w:rFonts w:ascii="Times New Roman;Times;serif" w:hAnsi="Times New Roman;Times;serif"/>
          <w:color w:val="000000"/>
          <w:sz w:val="20"/>
        </w:rPr>
        <w:t>.          The Company and its Subsidiaries (i) are in compliance with all federal, state, local and foreign laws relating to pollution or protection of human health or the environment (including ambient air, surface water, groundwater, land surface or subsurface strata), including laws relating to emissions, discharges, releases or threatened releases of chemicals, pollutants, contaminants, or toxic or hazardous substances or wastes (collectively, “</w:t>
      </w:r>
      <w:r>
        <w:rPr>
          <w:rFonts w:ascii="Times New Roman;Times;serif" w:hAnsi="Times New Roman;Times;serif"/>
          <w:color w:val="000000"/>
          <w:sz w:val="20"/>
          <w:u w:val="single"/>
        </w:rPr>
        <w:t>Hazardous Materials</w:t>
      </w:r>
      <w:r>
        <w:rPr>
          <w:rFonts w:ascii="Times New Roman;Times;serif" w:hAnsi="Times New Roman;Times;serif"/>
          <w:color w:val="000000"/>
          <w:sz w:val="20"/>
        </w:rPr>
        <w:t>”) into the environment, or otherwise relating to the manufacture, processing, distribution, use, treatment, storage, disposal, transport or handling of Hazardous Materials, as well as all authorizations, codes, decrees, demands, or demand letters, injunctions, judgments, licenses, notices or notice letters, orders, permits, plans or regulations, issued, entered, promulgated or approved thereunder (“</w:t>
      </w:r>
      <w:r>
        <w:rPr>
          <w:rFonts w:ascii="Times New Roman;Times;serif" w:hAnsi="Times New Roman;Times;serif"/>
          <w:color w:val="000000"/>
          <w:sz w:val="20"/>
          <w:u w:val="single"/>
        </w:rPr>
        <w:t>Environmental Laws</w:t>
      </w:r>
      <w:r>
        <w:rPr>
          <w:rFonts w:ascii="Times New Roman;Times;serif" w:hAnsi="Times New Roman;Times;serif"/>
          <w:color w:val="000000"/>
          <w:sz w:val="20"/>
        </w:rPr>
        <w:t>”); (ii) have received all permits, licenses or other approvals required of them under applicable Environmental Laws to conduct their respective businesses; and (iii) are in compliance with all terms and conditions of any such permit, license or approval where in each clause (i), (ii) and (iii), the failure to so comply would be reasonably expected to have, individually or in the aggregate, a Material Adverse Effect.</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(n)          </w:t>
      </w:r>
      <w:r>
        <w:rPr>
          <w:rFonts w:ascii="Times New Roman;Times;serif" w:hAnsi="Times New Roman;Times;serif"/>
          <w:color w:val="000000"/>
          <w:sz w:val="20"/>
          <w:u w:val="single"/>
        </w:rPr>
        <w:t>Regulatory Permits</w:t>
      </w:r>
      <w:r>
        <w:rPr>
          <w:rFonts w:ascii="Times New Roman;Times;serif" w:hAnsi="Times New Roman;Times;serif"/>
          <w:color w:val="000000"/>
          <w:sz w:val="20"/>
        </w:rPr>
        <w:t>. The Company and the Subsidiaries possess all certificates, authorizations and permits issued by the appropriate federal, state, local or foreign regulatory authorities necessary to conduct their respective businesses as described in the SEC Reports, except where the failure to possess such permits would not reasonably be expected to result in a Material Adverse Effect (“</w:t>
      </w:r>
      <w:r>
        <w:rPr>
          <w:rFonts w:ascii="Times New Roman;Times;serif" w:hAnsi="Times New Roman;Times;serif"/>
          <w:color w:val="000000"/>
          <w:sz w:val="20"/>
          <w:u w:val="single"/>
        </w:rPr>
        <w:t>Material Permits</w:t>
      </w:r>
      <w:r>
        <w:rPr>
          <w:rFonts w:ascii="Times New Roman;Times;serif" w:hAnsi="Times New Roman;Times;serif"/>
          <w:color w:val="000000"/>
          <w:sz w:val="20"/>
        </w:rPr>
        <w:t>”), and neither the Company nor any Subsidiary has received any written notice of proceedings relating to the revocation or modification of any Material Permit.</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17</w:t>
      </w:r>
    </w:p>
    <w:p>
      <w:pPr>
        <w:pStyle w:val="HorizontalLine"/>
        <w:pBdr>
          <w:bottom w:val="single" w:sz="12" w:space="0" w:color="808080"/>
        </w:pBdr>
        <w:bidi w:val="0"/>
        <w:spacing w:before="200" w:after="200"/>
        <w:jc w:val="left"/>
        <w:rPr/>
      </w:pPr>
      <w:r>
        <w:rPr/>
      </w:r>
    </w:p>
    <w:p>
      <w:pPr>
        <w:pStyle w:val="TextBody"/>
        <w:bidi w:val="0"/>
        <w:spacing w:lineRule="auto" w:line="300"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(o)          </w:t>
      </w:r>
      <w:r>
        <w:rPr>
          <w:rFonts w:ascii="Times New Roman;Times;serif" w:hAnsi="Times New Roman;Times;serif"/>
          <w:color w:val="000000"/>
          <w:sz w:val="20"/>
          <w:u w:val="single"/>
        </w:rPr>
        <w:t>Title to Assets</w:t>
      </w:r>
      <w:r>
        <w:rPr>
          <w:rFonts w:ascii="Times New Roman;Times;serif" w:hAnsi="Times New Roman;Times;serif"/>
          <w:color w:val="000000"/>
          <w:sz w:val="20"/>
        </w:rPr>
        <w:t>. The Company and the Subsidiaries have good and marketable title in fee simple to all real property owned by them and good and marketable title in all personal property owned by them that is material to the business of the Company and the Subsidiaries, in each case free and clear of all Liens, except for (i) Permitted Liens and (ii) Liens as do not materially affect the value of such property and do not materially interfere with the use made and proposed to be made of such property by the Company and the Subsidiaries. Any real property and facilities held under lease by the Company and the Subsidiaries are held by them under valid, subsisting and enforceable leases with which the Company and the Subsidiaries are in compliance in all material respects.</w:t>
      </w:r>
    </w:p>
    <w:p>
      <w:pPr>
        <w:pStyle w:val="TextBody"/>
        <w:bidi w:val="0"/>
        <w:spacing w:lineRule="auto" w:line="300" w:before="0" w:after="0"/>
        <w:ind w:left="720" w:right="0" w:firstLine="720"/>
        <w:jc w:val="both"/>
        <w:rPr>
          <w:rFonts w:ascii="Times New Roman;Times;serif" w:hAnsi="Times New Roman;Times;serif"/>
          <w:sz w:val="20"/>
        </w:rPr>
      </w:pPr>
      <w:r>
        <w:rPr>
          <w:rFonts w:ascii="Times New Roman;Times;serif" w:hAnsi="Times New Roman;Times;serif"/>
          <w:sz w:val="20"/>
        </w:rPr>
      </w:r>
    </w:p>
    <w:p>
      <w:pPr>
        <w:pStyle w:val="TextBody"/>
        <w:bidi w:val="0"/>
        <w:spacing w:lineRule="auto" w:line="300"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(p)          </w:t>
      </w:r>
      <w:r>
        <w:rPr>
          <w:rFonts w:ascii="Times New Roman;Times;serif" w:hAnsi="Times New Roman;Times;serif"/>
          <w:color w:val="000000"/>
          <w:sz w:val="20"/>
          <w:u w:val="single"/>
        </w:rPr>
        <w:t>Intellectual Property</w:t>
      </w:r>
      <w:r>
        <w:rPr>
          <w:rFonts w:ascii="Times New Roman;Times;serif" w:hAnsi="Times New Roman;Times;serif"/>
          <w:color w:val="000000"/>
          <w:sz w:val="20"/>
        </w:rPr>
        <w:t>. The Company and the Subsidiaries have, or have rights to use, all patents, patent applications, trademarks, trademark applications, service marks, trade names, trade secrets, inventions, copyrights, licenses and other intellectual property rights and similar rights necessary or required for use in connection with their respective businesses as described in the SEC Reports and for which the failure to so have would have a Material Adverse Effect (collectively, the “</w:t>
      </w:r>
      <w:r>
        <w:rPr>
          <w:rFonts w:ascii="Times New Roman;Times;serif" w:hAnsi="Times New Roman;Times;serif"/>
          <w:color w:val="000000"/>
          <w:sz w:val="20"/>
          <w:u w:val="single"/>
        </w:rPr>
        <w:t>Intellectual Property Rights</w:t>
      </w:r>
      <w:r>
        <w:rPr>
          <w:rFonts w:ascii="Times New Roman;Times;serif" w:hAnsi="Times New Roman;Times;serif"/>
          <w:color w:val="000000"/>
          <w:sz w:val="20"/>
        </w:rPr>
        <w:t>”). None of, and neither the Company nor any Subsidiary has received a written notice that any of, the Intellectual Property Rights has expired, terminated or been abandoned, or is reasonably expected to expire or terminate or be abandoned, within two (2) years from the date of this Agreement. Neither the Company nor any Subsidiary has received, since the date of the latest audited financial statements included within the SEC Reports, a written notice of a claim or otherwise has any knowledge that the Intellectual Property Rights violate or infringe upon the rights of any Person, except as would not have or reasonably be expected to not have a Material Adverse Effect. To the knowledge of the Company, all such Intellectual Property Rights are enforceable and there is no existing infringement by another Person of any of the Intellectual Property Rights, except to the extent as would not reasonably be expected to have a Material Adverse Effect. The Company and its Subsidiaries have taken reasonable security measures to protect the secrecy, confidentiality and value of all of their intellectual properties, except where failure to do so would not, individually or in the aggregate, reasonably be expected to have a Material Adverse Effect. The Company has no knowledge of any facts that would preclude it from having valid license rights or clear title to the Intellectual Property Rights, except with respect to Permitted Liens or to the extent as would not reasonably be expected to have a Material Adverse Effect.</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(q)          </w:t>
      </w:r>
      <w:r>
        <w:rPr>
          <w:rFonts w:ascii="Times New Roman;Times;serif" w:hAnsi="Times New Roman;Times;serif"/>
          <w:color w:val="000000"/>
          <w:sz w:val="20"/>
          <w:u w:val="single"/>
        </w:rPr>
        <w:t>Insurance</w:t>
      </w:r>
      <w:r>
        <w:rPr>
          <w:rFonts w:ascii="Times New Roman;Times;serif" w:hAnsi="Times New Roman;Times;serif"/>
          <w:color w:val="000000"/>
          <w:sz w:val="20"/>
        </w:rPr>
        <w:t>. The Company and the Subsidiaries are insured by insurers of recognized financial responsibility against such losses and risks and in such amounts as are prudent and customary in the businesses in which the Company and the Subsidiaries are engaged, including, but not limited to, directors and officers insurance coverage in amount deemed reasonably prudent by the Company.</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(r)          </w:t>
      </w:r>
      <w:r>
        <w:rPr>
          <w:rFonts w:ascii="Times New Roman;Times;serif" w:hAnsi="Times New Roman;Times;serif"/>
          <w:color w:val="000000"/>
          <w:sz w:val="20"/>
          <w:u w:val="single"/>
        </w:rPr>
        <w:t>Transactions With Affiliates and Employees</w:t>
      </w:r>
      <w:r>
        <w:rPr>
          <w:rFonts w:ascii="Times New Roman;Times;serif" w:hAnsi="Times New Roman;Times;serif"/>
          <w:color w:val="000000"/>
          <w:sz w:val="20"/>
        </w:rPr>
        <w:t>. None of the officers or directors of the Company or any Subsidiary and, to the knowledge of the Company, none of the employees of the Company is presently a party to any transaction with the Company or any Subsidiary (other than for services as employees, officers and directors), including any contract, agreement or other arrangement providing for the furnishing of services to or by, providing for rental of real or personal property to or from providing for the borrowing of money from or lending of money to, or otherwise requiring payments to or from any officer, director or such employee or, to the knowledge of the Company, any entity in which any officer, director, or any such employee has a substantial interest or is an officer, director, trustee, shareholder, member or partner, in each case in excess of $120,000 other than for (i) payment of salary or consulting fees for services rendered, (ii) reimbursement for expenses incurred on behalf of the Company and (iii) other employee benefits, including share option agreements or restricted share agreements under any share incentive plan of the Company.</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18</w:t>
      </w:r>
    </w:p>
    <w:p>
      <w:pPr>
        <w:pStyle w:val="HorizontalLine"/>
        <w:pBdr>
          <w:bottom w:val="single" w:sz="12" w:space="0" w:color="808080"/>
        </w:pBdr>
        <w:bidi w:val="0"/>
        <w:spacing w:before="200" w:after="200"/>
        <w:jc w:val="left"/>
        <w:rPr/>
      </w:pPr>
      <w:r>
        <w:rPr/>
      </w:r>
    </w:p>
    <w:p>
      <w:pPr>
        <w:pStyle w:val="TextBody"/>
        <w:bidi w:val="0"/>
        <w:spacing w:lineRule="auto" w:line="300"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(s)          </w:t>
      </w:r>
      <w:r>
        <w:rPr>
          <w:rFonts w:ascii="Times New Roman;Times;serif" w:hAnsi="Times New Roman;Times;serif"/>
          <w:color w:val="000000"/>
          <w:sz w:val="20"/>
          <w:u w:val="single"/>
        </w:rPr>
        <w:t>Sarbanes-Oxley; Internal Accounting Controls</w:t>
      </w:r>
      <w:r>
        <w:rPr>
          <w:rFonts w:ascii="Times New Roman;Times;serif" w:hAnsi="Times New Roman;Times;serif"/>
          <w:color w:val="000000"/>
          <w:sz w:val="20"/>
        </w:rPr>
        <w:t>. The Company and the Subsidiaries are in compliance with any and all applicable requirements of the Sarbanes-Oxley Act of 2002, as amended, that are effective as of the date hereof and as of each applicable Closing Date, and any and all applicable rules and regulations promulgated by the Commission thereunder that are effective as of the date hereof and as of each applicable Closing Date. The Company and the Subsidiaries maintain a system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The Company and the Subsidiaries have established disclosure controls and procedures (as defined in Exchange Act Rules 13a-15(e) and 15d-15(e)) for the Company and the Subsidiaries and designed such disclosure controls and procedures to ensure that information required to be disclosed by the Company in the reports it files or submits under the Exchange Act is recorded, processed, summarized and reported, within the time periods specified in the Commission’s rules and forms. The Company’s certifying officers have evaluated the effectiveness of the disclosure controls and procedures of the Company and the Subsidiaries as of the end of the period covered by the most recently filed periodic report under the Exchange Act (such date, the “</w:t>
      </w:r>
      <w:r>
        <w:rPr>
          <w:rFonts w:ascii="Times New Roman;Times;serif" w:hAnsi="Times New Roman;Times;serif"/>
          <w:color w:val="000000"/>
          <w:sz w:val="20"/>
          <w:u w:val="single"/>
        </w:rPr>
        <w:t>Evaluation Date</w:t>
      </w:r>
      <w:r>
        <w:rPr>
          <w:rFonts w:ascii="Times New Roman;Times;serif" w:hAnsi="Times New Roman;Times;serif"/>
          <w:color w:val="000000"/>
          <w:sz w:val="20"/>
        </w:rPr>
        <w:t>”). The Company presented in its most recently filed periodic report under the Exchange Act the conclusions of the certifying officers about the effectiveness of the disclosure controls and procedures based on their evaluations as of the Evaluation Date. Since the Evaluation Date, there have been no changes in the internal control over financial reporting (as such term is defined in the Exchange Act) of the Company and its Subsidiaries that have materially affected, or is reasonably likely to materially affect, the internal control over financial reporting of the Company and its Subsidiaries.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(t)          </w:t>
      </w:r>
      <w:r>
        <w:rPr>
          <w:rFonts w:ascii="Times New Roman;Times;serif" w:hAnsi="Times New Roman;Times;serif"/>
          <w:color w:val="000000"/>
          <w:sz w:val="20"/>
          <w:u w:val="single"/>
        </w:rPr>
        <w:t>Certain Fees</w:t>
      </w:r>
      <w:r>
        <w:rPr>
          <w:rFonts w:ascii="Times New Roman;Times;serif" w:hAnsi="Times New Roman;Times;serif"/>
          <w:color w:val="000000"/>
          <w:sz w:val="20"/>
        </w:rPr>
        <w:t>. No brokerage or finder’s fees or commissions are or will be payable by the Company or any Subsidiaries to any broker, financial advisor or consultant, finder, placement agent, investment banker, bank or other Person with respect to the transactions contemplated by the Transaction Documents. The Purchasers shall have no obligation with respect to any fees or with respect to any claims made by or on behalf of other Persons for fees of a type contemplated in this Section that may be due in connection with the transactions contemplated by the Transaction Documents.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(u)          </w:t>
      </w:r>
      <w:r>
        <w:rPr>
          <w:rFonts w:ascii="Times New Roman;Times;serif" w:hAnsi="Times New Roman;Times;serif"/>
          <w:color w:val="000000"/>
          <w:sz w:val="20"/>
          <w:u w:val="single"/>
        </w:rPr>
        <w:t>Investment Company</w:t>
      </w:r>
      <w:r>
        <w:rPr>
          <w:rFonts w:ascii="Times New Roman;Times;serif" w:hAnsi="Times New Roman;Times;serif"/>
          <w:color w:val="000000"/>
          <w:sz w:val="20"/>
        </w:rPr>
        <w:t>. The Company is not, and is not an Affiliate of, and immediately after receipt of payment for the Securities, will not be or be an Affiliate of, an “investment company” within the meaning of the Investment Company Act of 1940, as amended. The Company shall conduct its business in a manner so that it will not become an “investment company” subject to registration under the Investment Company Act of 1940, as amended.</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19</w:t>
      </w:r>
    </w:p>
    <w:p>
      <w:pPr>
        <w:pStyle w:val="HorizontalLine"/>
        <w:pBdr>
          <w:bottom w:val="single" w:sz="12" w:space="0" w:color="808080"/>
        </w:pBdr>
        <w:bidi w:val="0"/>
        <w:spacing w:before="200" w:after="200"/>
        <w:jc w:val="left"/>
        <w:rPr/>
      </w:pPr>
      <w:r>
        <w:rPr/>
      </w:r>
    </w:p>
    <w:p>
      <w:pPr>
        <w:pStyle w:val="TextBody"/>
        <w:bidi w:val="0"/>
        <w:spacing w:lineRule="auto" w:line="300"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(v)          [</w:t>
      </w:r>
      <w:r>
        <w:rPr>
          <w:rFonts w:ascii="Times New Roman;Times;serif" w:hAnsi="Times New Roman;Times;serif"/>
          <w:i/>
          <w:color w:val="000000"/>
          <w:sz w:val="20"/>
          <w:u w:val="single"/>
        </w:rPr>
        <w:t>Reserved</w:t>
      </w:r>
      <w:r>
        <w:rPr>
          <w:rFonts w:ascii="Times New Roman;Times;serif" w:hAnsi="Times New Roman;Times;serif"/>
          <w:color w:val="000000"/>
          <w:sz w:val="20"/>
        </w:rPr>
        <w:t>.]</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(w)          </w:t>
      </w:r>
      <w:r>
        <w:rPr>
          <w:rFonts w:ascii="Times New Roman;Times;serif" w:hAnsi="Times New Roman;Times;serif"/>
          <w:color w:val="000000"/>
          <w:sz w:val="20"/>
          <w:u w:val="single"/>
        </w:rPr>
        <w:t>Listing and Maintenance Requirements</w:t>
      </w:r>
      <w:r>
        <w:rPr>
          <w:rFonts w:ascii="Times New Roman;Times;serif" w:hAnsi="Times New Roman;Times;serif"/>
          <w:color w:val="000000"/>
          <w:sz w:val="20"/>
        </w:rPr>
        <w:t>. The Ordinary Shares are registered pursuant to Section 12(b) or 12(g) of the Exchange Act, and the Company has taken no action designed to, or which to its knowledge is likely to have the effect of, terminating the registration of the Ordinary Shares under the Exchange Act nor has the Company received any notification that the Commission is contemplating terminating such registration. Except as disclosed in its SEC Reports, the Company has not, in the 12 months preceding the date hereof, received notice from any Trading Market on which the Ordinary Shares are or has been listed or quoted to the effect that the Company is not in compliance with the listing or maintenance requirements of such Trading Market. Except as otherwise disclosed in the SEC Reports, the Company is, and has no reason to believe that it will not in the foreseeable future continue to be, in compliance with all such listing and maintenance requirements. The Ordinary Shares are currently eligible for electronic transfer through the Depository Trust Company or another established clearing corporation and the Company is current in payment of the fees to the Depository Trust Company (or such other established clearing corporation) in connection with such electronic transfer.</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(x)          </w:t>
      </w:r>
      <w:r>
        <w:rPr>
          <w:rFonts w:ascii="Times New Roman;Times;serif" w:hAnsi="Times New Roman;Times;serif"/>
          <w:color w:val="000000"/>
          <w:sz w:val="20"/>
          <w:u w:val="single"/>
        </w:rPr>
        <w:t>Application of Takeover Protections</w:t>
      </w:r>
      <w:r>
        <w:rPr>
          <w:rFonts w:ascii="Times New Roman;Times;serif" w:hAnsi="Times New Roman;Times;serif"/>
          <w:color w:val="000000"/>
          <w:sz w:val="20"/>
        </w:rPr>
        <w:t>. The Company and the Board of Directors have taken all necessary action, if any, in order to render inapplicable any control share acquisition, business combination, poison pill (including any distribution under a rights agreement) or other similar anti-takeover provision under the Company’s certificate of incorporation (or similar charter documents) or, subject to the receipt of the Required Approvals, the laws of its state of incorporation that is or could become applicable to the Purchasers as a result of the Purchasers and the Company fulfilling their obligations or exercising their rights under the Transaction Documents, including without limitation as a result of the Company’s issuance of the Securities and the Purchasers’ ownership of the Securities.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(y)          </w:t>
      </w:r>
      <w:r>
        <w:rPr>
          <w:rFonts w:ascii="Times New Roman;Times;serif" w:hAnsi="Times New Roman;Times;serif"/>
          <w:color w:val="000000"/>
          <w:sz w:val="20"/>
          <w:u w:val="single"/>
        </w:rPr>
        <w:t>Disclosure</w:t>
      </w:r>
      <w:r>
        <w:rPr>
          <w:rFonts w:ascii="Times New Roman;Times;serif" w:hAnsi="Times New Roman;Times;serif"/>
          <w:color w:val="000000"/>
          <w:sz w:val="20"/>
        </w:rPr>
        <w:t>. Except with respect to the material terms and conditions of the transactions contemplated by the Transaction Documents, the Company confirms that neither it nor any other Person acting on its behalf has provided any of the Purchasers or their agents or counsel with any information that it believes constitutes or might constitute material, non-public information which is not otherwise disclosed in the SEC Reports. The Company understands and confirms that the Purchasers will rely on the foregoing representation in effecting transactions in securities of the Company. All of the disclosure furnished by or on behalf of the Company to the Purchasers regarding the Company and its Subsidiaries, their respective businesses and the transactions contemplated hereby, including the Disclosure Schedules to this Agreement, is true and correct and does not contain any untrue statement of a material fact or omit to state any material fact necessary in order to make the statements made therein, in the light of the circumstances under which they were made, not misleading. The press releases disseminated by the Company during the twelve months preceding the date of this Agreement taken as a whole do not contain any untrue statement of a material fact or omit to state a material fact required to be stated therein or necessary in order to make the statements therein, in the light of the circumstances under which they were made and when made, not misleading. The Company acknowledges and agrees that no Purchaser makes or has made any representations or warranties with respect to the transactions contemplated hereby other than those specifically set forth in Section 3.2 hereof.</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20</w:t>
      </w:r>
    </w:p>
    <w:p>
      <w:pPr>
        <w:pStyle w:val="HorizontalLine"/>
        <w:pBdr>
          <w:bottom w:val="single" w:sz="12" w:space="0" w:color="808080"/>
        </w:pBdr>
        <w:bidi w:val="0"/>
        <w:spacing w:before="200" w:after="200"/>
        <w:jc w:val="left"/>
        <w:rPr/>
      </w:pPr>
      <w:r>
        <w:rPr/>
      </w:r>
    </w:p>
    <w:p>
      <w:pPr>
        <w:pStyle w:val="TextBody"/>
        <w:bidi w:val="0"/>
        <w:spacing w:lineRule="auto" w:line="300"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(z)          </w:t>
      </w:r>
      <w:r>
        <w:rPr>
          <w:rFonts w:ascii="Times New Roman;Times;serif" w:hAnsi="Times New Roman;Times;serif"/>
          <w:color w:val="000000"/>
          <w:sz w:val="20"/>
          <w:u w:val="single"/>
        </w:rPr>
        <w:t>No Integrated Offering</w:t>
      </w:r>
      <w:r>
        <w:rPr>
          <w:rFonts w:ascii="Times New Roman;Times;serif" w:hAnsi="Times New Roman;Times;serif"/>
          <w:color w:val="000000"/>
          <w:sz w:val="20"/>
        </w:rPr>
        <w:t>. Assuming the accuracy of the Purchasers’ representations and warranties set forth in Section 3.2, neither the Company, nor any of its Affiliates, nor any Person acting on its or their behalf has, directly or indirectly, made any offers or sales of any security or solicited any offers to buy any security, under circumstances, that would cause this offering of the Securities to be integrated with prior offerings by the Company for purposes of (i) the Securities Act which would require the registration of the Securities under the Securities Act, or (ii) any applicable shareholder approval provisions of any Trading Market on which any of the securities of the Company are listed or designated.</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(aa)          </w:t>
      </w:r>
      <w:r>
        <w:rPr>
          <w:rFonts w:ascii="Times New Roman;Times;serif" w:hAnsi="Times New Roman;Times;serif"/>
          <w:color w:val="000000"/>
          <w:sz w:val="20"/>
          <w:u w:val="single"/>
        </w:rPr>
        <w:t>Indebtedness</w:t>
      </w:r>
      <w:r>
        <w:rPr>
          <w:rFonts w:ascii="Times New Roman;Times;serif" w:hAnsi="Times New Roman;Times;serif"/>
          <w:color w:val="000000"/>
          <w:sz w:val="20"/>
        </w:rPr>
        <w:t>. Based on the consolidated financial condition of the Company as of each applicable Closing Date, after giving effect to the receipt by the Company of the proceeds from the sale of the Securities hereunder, (i) the fair saleable value of the Company’s assets exceeds the amount that will be required to be paid on or in respect of the Company’s existing debts and other liabilities (including known contingent liabilities) as they mature, (ii) the Company’s assets do not constitute unreasonably small capital to carry on its business as now conducted and as proposed to be conducted including its capital needs taking into account the particular capital requirements of the business conducted by the Company, consolidated and projected capital requirements and capital availability thereof, and (iii) the current cash flow of the Company, together with the proceeds the Company would receive, were it to liquidate all of its assets, after taking into account all anticipated uses of the cash, would be sufficient to pay all amounts on or in respect of its liabilities when such amounts are required to be paid. The Company does not intend to incur debts beyond its ability to pay such debts as they mature (taking into account the timing and amounts of cash to be payable on or in respect of its debt). As of each applicable Closing Date, neither the Company nor its Board of Directors has approved a plan or authorized commencement of any proceeding for reorganization, winding-up or liquidation under the bankruptcy, winding-up or reorganization laws of any jurisdiction. The SEC Reports set forth as of the date thereof all outstanding secured and unsecured Indebtedness of the Company or any Subsidiary, or for which the Company or any Subsidiary has commitments. Neither the Company nor any Subsidiary is in default with respect to any Indebtedness which default permits the holders thereof to cause such Indebtedness to become or be declared due and payable prior to the date on which it would otherwise become due and payable.</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(bb)          </w:t>
      </w:r>
      <w:r>
        <w:rPr>
          <w:rFonts w:ascii="Times New Roman;Times;serif" w:hAnsi="Times New Roman;Times;serif"/>
          <w:color w:val="000000"/>
          <w:sz w:val="20"/>
          <w:u w:val="single"/>
        </w:rPr>
        <w:t>Tax Status</w:t>
      </w:r>
      <w:r>
        <w:rPr>
          <w:rFonts w:ascii="Times New Roman;Times;serif" w:hAnsi="Times New Roman;Times;serif"/>
          <w:color w:val="000000"/>
          <w:sz w:val="20"/>
        </w:rPr>
        <w:t>. Except for matters that would not, individually or in the aggregate, have or reasonably be expected to result in a Material Adverse Effect, the Company and its Subsidiaries each (i) has made or filed all United States federal, state and local income and all foreign income and franchise tax returns, reports and declarations required by any jurisdiction to which it is subject, (ii) has paid all taxes and other governmental assessments and charges that are material in amount, shown or determined to be due on such returns, reports and declarations and (iii) has set aside on its books provision reasonably adequate for the payment of all material taxes for periods subsequent to the periods to which such returns, reports or declarations apply. There are no unpaid taxes in any material amount claimed to be due by the taxing authority of any jurisdiction, and the officers of the Company or of any Subsidiary know of no basis for any such claim.</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21</w:t>
      </w:r>
    </w:p>
    <w:p>
      <w:pPr>
        <w:pStyle w:val="HorizontalLine"/>
        <w:pBdr>
          <w:bottom w:val="single" w:sz="12" w:space="0" w:color="808080"/>
        </w:pBdr>
        <w:bidi w:val="0"/>
        <w:spacing w:before="200" w:after="200"/>
        <w:jc w:val="left"/>
        <w:rPr/>
      </w:pPr>
      <w:r>
        <w:rPr/>
      </w:r>
    </w:p>
    <w:p>
      <w:pPr>
        <w:pStyle w:val="TextBody"/>
        <w:bidi w:val="0"/>
        <w:spacing w:lineRule="auto" w:line="300"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(cc)          </w:t>
      </w:r>
      <w:r>
        <w:rPr>
          <w:rFonts w:ascii="Times New Roman;Times;serif" w:hAnsi="Times New Roman;Times;serif"/>
          <w:color w:val="000000"/>
          <w:sz w:val="20"/>
          <w:u w:val="single"/>
        </w:rPr>
        <w:t>Foreign Corrupt Practices</w:t>
      </w:r>
      <w:r>
        <w:rPr>
          <w:rFonts w:ascii="Times New Roman;Times;serif" w:hAnsi="Times New Roman;Times;serif"/>
          <w:color w:val="000000"/>
          <w:sz w:val="20"/>
        </w:rPr>
        <w:t>. Neither the Company nor any Subsidiary, nor to the knowledge of the Company or any Subsidiary, any agent or other person acting on behalf of the Company or any Subsidiary, has (i) directly or indirectly, used any funds for unlawful contributions, gifts, entertainment or other unlawful expenses related to foreign or domestic political activity, (ii) made any unlawful payment to foreign or domestic government officials or employees or to any foreign or domestic political parties or campaigns from corporate funds, (iii) failed to disclose fully any contribution made by the Company or any Subsidiary (or made by any person acting on its behalf of which the Company is aware) which is in violation of law or (iv) violated in any material respect any provision of FCPA.</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(dd)          </w:t>
      </w:r>
      <w:r>
        <w:rPr>
          <w:rFonts w:ascii="Times New Roman;Times;serif" w:hAnsi="Times New Roman;Times;serif"/>
          <w:color w:val="000000"/>
          <w:sz w:val="20"/>
          <w:u w:val="single"/>
        </w:rPr>
        <w:t>Accountants</w:t>
      </w:r>
      <w:r>
        <w:rPr>
          <w:rFonts w:ascii="Times New Roman;Times;serif" w:hAnsi="Times New Roman;Times;serif"/>
          <w:color w:val="000000"/>
          <w:sz w:val="20"/>
        </w:rPr>
        <w:t>. Kost Forer Gabbay &amp; Kasierer is the Company’s accounting firm and to the Company’s knowledge Kost Forer Gabbay &amp; Kasierer (i) is a registered public accounting firm as required by the Exchange Act and (ii) has not notified the Company that it shall not express its opinion with respect to the financial statements to be included in the Company’s Annual Report for the fiscal year ending December 31, 2026.</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(ee)          </w:t>
      </w:r>
      <w:r>
        <w:rPr>
          <w:rFonts w:ascii="Times New Roman;Times;serif" w:hAnsi="Times New Roman;Times;serif"/>
          <w:color w:val="000000"/>
          <w:sz w:val="20"/>
          <w:u w:val="single"/>
        </w:rPr>
        <w:t>Seniority</w:t>
      </w:r>
      <w:r>
        <w:rPr>
          <w:rFonts w:ascii="Times New Roman;Times;serif" w:hAnsi="Times New Roman;Times;serif"/>
          <w:color w:val="000000"/>
          <w:sz w:val="20"/>
        </w:rPr>
        <w:t>. As of each applicable Closing Date, no Indebtedness or other claim against the Company is senior to the Notes in right of payment, whether with respect to interest or upon liquidation or dissolution, or otherwise, other than indebtedness secured by purchase money security interests (which is senior only as to underlying assets covered thereby) and capital lease obligations (which is senior only as to the property covered thereby).</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(ff)          </w:t>
      </w:r>
      <w:r>
        <w:rPr>
          <w:rFonts w:ascii="Times New Roman;Times;serif" w:hAnsi="Times New Roman;Times;serif"/>
          <w:color w:val="000000"/>
          <w:sz w:val="20"/>
          <w:u w:val="single"/>
        </w:rPr>
        <w:t>No Disagreements with Accountants and Lawyers</w:t>
      </w:r>
      <w:r>
        <w:rPr>
          <w:rFonts w:ascii="Times New Roman;Times;serif" w:hAnsi="Times New Roman;Times;serif"/>
          <w:color w:val="000000"/>
          <w:sz w:val="20"/>
        </w:rPr>
        <w:t>. There are no disagreements of any kind presently existing, or reasonably anticipated by the Company to arise, between the Company and the accountants and lawyers formerly or presently employed by the Company which could affect the Company’s ability to perform any of its obligations under any of the Transaction Documents and the Company is current with respect to any fees owed to its accountants and lawyers which could affect the Company’s ability to perform any of its obligations under any of the Transaction Documents.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(gg)          </w:t>
      </w:r>
      <w:r>
        <w:rPr>
          <w:rFonts w:ascii="Times New Roman;Times;serif" w:hAnsi="Times New Roman;Times;serif"/>
          <w:color w:val="000000"/>
          <w:sz w:val="20"/>
          <w:u w:val="single"/>
        </w:rPr>
        <w:t>Acknowledgment Regarding Purchasers’ Purchase of Securities</w:t>
      </w:r>
      <w:r>
        <w:rPr>
          <w:rFonts w:ascii="Times New Roman;Times;serif" w:hAnsi="Times New Roman;Times;serif"/>
          <w:color w:val="000000"/>
          <w:sz w:val="20"/>
        </w:rPr>
        <w:t>. The Company acknowledges and agrees that each of the Purchasers is acting solely in the capacity of an arm’s length purchaser with respect to the Transaction Documents and the transactions contemplated thereby. The Company further acknowledges that no Purchaser is acting as a financial advisor or fiduciary of the Company (or in any similar capacity) with respect to the Transaction Documents and the transactions contemplated thereby and any advice given by any Purchaser or any of their respective representatives or agents in connection with the Transaction Documents and the transactions contemplated thereby is merely incidental to the Purchasers’ purchase of the Securities. The Company further represents to each Purchaser that the Company’s decision to enter into this Agreement and the other Transaction Documents has been based solely on the independent evaluation of the transactions contemplated hereby by the Company and its representatives.</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22</w:t>
      </w:r>
    </w:p>
    <w:p>
      <w:pPr>
        <w:pStyle w:val="HorizontalLine"/>
        <w:pBdr>
          <w:bottom w:val="single" w:sz="12" w:space="0" w:color="808080"/>
        </w:pBdr>
        <w:bidi w:val="0"/>
        <w:spacing w:before="200" w:after="200"/>
        <w:jc w:val="left"/>
        <w:rPr/>
      </w:pPr>
      <w:r>
        <w:rPr/>
      </w:r>
    </w:p>
    <w:p>
      <w:pPr>
        <w:pStyle w:val="TextBody"/>
        <w:bidi w:val="0"/>
        <w:spacing w:lineRule="auto" w:line="300"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(hh)          </w:t>
      </w:r>
      <w:r>
        <w:rPr>
          <w:rFonts w:ascii="Times New Roman;Times;serif" w:hAnsi="Times New Roman;Times;serif"/>
          <w:color w:val="000000"/>
          <w:sz w:val="20"/>
          <w:u w:val="single"/>
        </w:rPr>
        <w:t>Acknowledgment Regarding Purchaser’s Trading Activity</w:t>
      </w:r>
      <w:r>
        <w:rPr>
          <w:rFonts w:ascii="Times New Roman;Times;serif" w:hAnsi="Times New Roman;Times;serif"/>
          <w:color w:val="000000"/>
          <w:sz w:val="20"/>
        </w:rPr>
        <w:t>. Anything in this Agreement or elsewhere herein to the contrary notwithstanding (except for Sections 3.2(h) and 4.15 hereof), it is understood and acknowledged by the Company that: (i) no Purchaser has been asked by the Company to agree, nor has any Purchaser agreed, to desist from purchasing or selling, long and/or short, securities of the Company, or “derivative” securities based on securities issued by the Company or to hold the Securities for any specified term; (ii) past or future open market or other transactions by any Purchaser, specifically including, without limitation, Short Sales or “derivative” transactions, before or after the closing of this or future private placement transactions, may negatively impact the market price of the Company’s publicly-traded securities; (iii) any Purchaser, and counter-parties in “derivative” transactions to which any such Purchaser is a party, directly or indirectly, presently may have a “short” position in the Ordinary Shares, and (iv) each Purchaser shall not be deemed to have any affiliation with or control over any arm’s length counter-party in any “derivative” transaction. The Company further understands and acknowledges that (y) one or more Purchasers may engage in hedging activities at various times during the period that the Securities are outstanding, including, without limitation, during the periods that the value of the Underlying Shares deliverable with respect to Securities are being determined, and (z) such hedging activities (if any) could reduce the value of the existing shareholders’ equity interests in the Company at and after the time that the hedging activities are being conducted .  The Company acknowledges that such aforementioned hedging activities do not constitute a breach of any of the Transaction Documents.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(ii)          </w:t>
      </w:r>
      <w:r>
        <w:rPr>
          <w:rFonts w:ascii="Times New Roman;Times;serif" w:hAnsi="Times New Roman;Times;serif"/>
          <w:color w:val="000000"/>
          <w:sz w:val="20"/>
          <w:u w:val="single"/>
        </w:rPr>
        <w:t>Regulation M Compliance</w:t>
      </w:r>
      <w:r>
        <w:rPr>
          <w:rFonts w:ascii="Times New Roman;Times;serif" w:hAnsi="Times New Roman;Times;serif"/>
          <w:color w:val="000000"/>
          <w:sz w:val="20"/>
        </w:rPr>
        <w:t>. The Company has not, and to its knowledge no one acting on its behalf has, (i) taken, directly or indirectly, any action designed to cause or to result in the stabilization or manipulation of the price of any security of the Company to facilitate the sale or resale of any of the Securities, (ii) sold, bid for, purchased, or paid any compensation for soliciting purchases of, any of the Securities, or (iii) paid or agreed to pay to any Person any compensation for soliciting another to purchase any other securities of the Company.</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(jj)          </w:t>
      </w:r>
      <w:r>
        <w:rPr>
          <w:rFonts w:ascii="Times New Roman;Times;serif" w:hAnsi="Times New Roman;Times;serif"/>
          <w:color w:val="000000"/>
          <w:sz w:val="20"/>
          <w:u w:val="single"/>
        </w:rPr>
        <w:t>Share Option Plans</w:t>
      </w:r>
      <w:r>
        <w:rPr>
          <w:rFonts w:ascii="Times New Roman;Times;serif" w:hAnsi="Times New Roman;Times;serif"/>
          <w:color w:val="000000"/>
          <w:sz w:val="20"/>
        </w:rPr>
        <w:t>. Each share option granted by the Company under the Company’s share option plan was granted (i) in accordance with the terms of the Company’s share option plan and (ii) with an exercise price at least equal to the fair market value of the Ordinary Shares on the date such stock option would be considered granted under GAAP and applicable law. No share option granted under the Company’s share option plan has been backdated. The Company has not knowingly granted, and there is no and has been no Company policy or practice to knowingly grant, share options prior to, or otherwise knowingly coordinate the grant of share options with, the release or other public announcement of material information regarding the Company or its Subsidiaries or their financial results or prospects.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(kk)          </w:t>
      </w:r>
      <w:r>
        <w:rPr>
          <w:rFonts w:ascii="Times New Roman;Times;serif" w:hAnsi="Times New Roman;Times;serif"/>
          <w:color w:val="000000"/>
          <w:sz w:val="20"/>
          <w:u w:val="single"/>
        </w:rPr>
        <w:t>Cybersecurity</w:t>
      </w:r>
      <w:r>
        <w:rPr>
          <w:rFonts w:ascii="Times New Roman;Times;serif" w:hAnsi="Times New Roman;Times;serif"/>
          <w:color w:val="000000"/>
          <w:sz w:val="20"/>
        </w:rPr>
        <w:t>. (i)(x) There has been no material security breach or other compromise of or relating to any of the Company’s or any Subsidiary’s information technology and computer systems, networks, hardware, software, data (including the data of its respective customers, employees, suppliers, vendors and any third party data maintained by or on behalf of it), equipment or technology (collectively, “</w:t>
      </w:r>
      <w:r>
        <w:rPr>
          <w:rFonts w:ascii="Times New Roman;Times;serif" w:hAnsi="Times New Roman;Times;serif"/>
          <w:color w:val="000000"/>
          <w:sz w:val="20"/>
          <w:u w:val="single"/>
        </w:rPr>
        <w:t>IT Systems and Data</w:t>
      </w:r>
      <w:r>
        <w:rPr>
          <w:rFonts w:ascii="Times New Roman;Times;serif" w:hAnsi="Times New Roman;Times;serif"/>
          <w:color w:val="000000"/>
          <w:sz w:val="20"/>
        </w:rPr>
        <w:t>”) and (y) the Company and the Subsidiaries have not been notified of and have no knowledge of, any event or condition that would reasonably be expected to result in, any security breach or other compromise to its IT Systems and Data; (ii) the Company and the Subsidiaries are presently in compliance with all applicable laws or statutes and all judgments, orders, rules and regulations of any court or arbitrator or governmental or regulatory authority, internal policies and contractual obligations relating to the privacy and security of IT Systems and Data and to the protection of such IT Systems and Data from unauthorized use, access, misappropriation or modification, except as would not, individually or in the aggregate, have a Material Adverse Effect; (iii) the Company and the Subsidiaries have implemented and maintained commercially reasonable safeguards to maintain and protect its material confidential information and the integrity, continuous operation, redundancy and security of all IT Systems and Data; and (iv) the Company and the Subsidiaries have implemented backup and disaster recovery processes consistent with industry standards and practices.</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23</w:t>
      </w:r>
    </w:p>
    <w:p>
      <w:pPr>
        <w:pStyle w:val="HorizontalLine"/>
        <w:pBdr>
          <w:bottom w:val="single" w:sz="12" w:space="0" w:color="808080"/>
        </w:pBdr>
        <w:bidi w:val="0"/>
        <w:spacing w:before="200" w:after="200"/>
        <w:jc w:val="left"/>
        <w:rPr/>
      </w:pPr>
      <w:r>
        <w:rPr/>
      </w:r>
    </w:p>
    <w:p>
      <w:pPr>
        <w:pStyle w:val="TextBody"/>
        <w:bidi w:val="0"/>
        <w:spacing w:lineRule="auto" w:line="300"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(ll)          </w:t>
      </w:r>
      <w:r>
        <w:rPr>
          <w:rFonts w:ascii="Times New Roman;Times;serif" w:hAnsi="Times New Roman;Times;serif"/>
          <w:color w:val="000000"/>
          <w:sz w:val="20"/>
          <w:u w:val="single"/>
        </w:rPr>
        <w:t>Office of Foreign Assets Control</w:t>
      </w:r>
      <w:r>
        <w:rPr>
          <w:rFonts w:ascii="Times New Roman;Times;serif" w:hAnsi="Times New Roman;Times;serif"/>
          <w:color w:val="000000"/>
          <w:sz w:val="20"/>
        </w:rPr>
        <w:t>. Neither the Company nor any Subsidiary nor, to the Company’s knowledge, any director, officer, agent, employee or affiliate of the Company or any Subsidiary is currently subject to any U.S. sanctions administered by the Office of Foreign Assets Control of the U.S. Treasury Department (“</w:t>
      </w:r>
      <w:r>
        <w:rPr>
          <w:rFonts w:ascii="Times New Roman;Times;serif" w:hAnsi="Times New Roman;Times;serif"/>
          <w:color w:val="000000"/>
          <w:sz w:val="20"/>
          <w:u w:val="single"/>
        </w:rPr>
        <w:t>OFAC</w:t>
      </w:r>
      <w:r>
        <w:rPr>
          <w:rFonts w:ascii="Times New Roman;Times;serif" w:hAnsi="Times New Roman;Times;serif"/>
          <w:color w:val="000000"/>
          <w:sz w:val="20"/>
        </w:rPr>
        <w:t>”).</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(mm)          </w:t>
      </w:r>
      <w:r>
        <w:rPr>
          <w:rFonts w:ascii="Times New Roman;Times;serif" w:hAnsi="Times New Roman;Times;serif"/>
          <w:color w:val="000000"/>
          <w:sz w:val="20"/>
          <w:u w:val="single"/>
        </w:rPr>
        <w:t>U.S. Real Property Holding Corporation</w:t>
      </w:r>
      <w:r>
        <w:rPr>
          <w:rFonts w:ascii="Times New Roman;Times;serif" w:hAnsi="Times New Roman;Times;serif"/>
          <w:color w:val="000000"/>
          <w:sz w:val="20"/>
        </w:rPr>
        <w:t>. The Company is not and has never been a U.S. real property holding corporation within the meaning of Section 897 of the Internal Revenue Code of 1986, as amended, and the Company shall so certify upon Purchaser’s request.</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(nn)          </w:t>
      </w:r>
      <w:r>
        <w:rPr>
          <w:rFonts w:ascii="Times New Roman;Times;serif" w:hAnsi="Times New Roman;Times;serif"/>
          <w:color w:val="000000"/>
          <w:sz w:val="20"/>
          <w:u w:val="single"/>
        </w:rPr>
        <w:t>Bank Holding Company Act</w:t>
      </w:r>
      <w:r>
        <w:rPr>
          <w:rFonts w:ascii="Times New Roman;Times;serif" w:hAnsi="Times New Roman;Times;serif"/>
          <w:color w:val="000000"/>
          <w:sz w:val="20"/>
        </w:rPr>
        <w:t>. Neither the Company nor any of its Subsidiaries or Affiliates is subject to the Bank Holding Company Act of 1956, as amended (the “</w:t>
      </w:r>
      <w:r>
        <w:rPr>
          <w:rFonts w:ascii="Times New Roman;Times;serif" w:hAnsi="Times New Roman;Times;serif"/>
          <w:color w:val="000000"/>
          <w:sz w:val="20"/>
          <w:u w:val="single"/>
        </w:rPr>
        <w:t>BHCA</w:t>
      </w:r>
      <w:r>
        <w:rPr>
          <w:rFonts w:ascii="Times New Roman;Times;serif" w:hAnsi="Times New Roman;Times;serif"/>
          <w:color w:val="000000"/>
          <w:sz w:val="20"/>
        </w:rPr>
        <w:t>”) and to regulation by the Board of Governors of the Federal Reserve System (the “</w:t>
      </w:r>
      <w:r>
        <w:rPr>
          <w:rFonts w:ascii="Times New Roman;Times;serif" w:hAnsi="Times New Roman;Times;serif"/>
          <w:color w:val="000000"/>
          <w:sz w:val="20"/>
          <w:u w:val="single"/>
        </w:rPr>
        <w:t>Federal Reserve</w:t>
      </w:r>
      <w:r>
        <w:rPr>
          <w:rFonts w:ascii="Times New Roman;Times;serif" w:hAnsi="Times New Roman;Times;serif"/>
          <w:color w:val="000000"/>
          <w:sz w:val="20"/>
        </w:rPr>
        <w:t>”). Neither the Company nor any of its Subsidiaries or Affiliates owns or controls, directly or indirectly, five percent (5%) or more of the outstanding shares of any class of voting securities or twenty-five percent (25%) or more of the total equity of a bank or any entity that is subject to the BHCA and to regulation by the Federal Reserve. Neither the Company nor any of its Subsidiaries or Affiliates exercises a controlling influence over the management or policies of a bank or any entity that is subject to the BHCA and to regulation by the Federal Reserve.</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(oo)          </w:t>
      </w:r>
      <w:r>
        <w:rPr>
          <w:rFonts w:ascii="Times New Roman;Times;serif" w:hAnsi="Times New Roman;Times;serif"/>
          <w:color w:val="000000"/>
          <w:sz w:val="20"/>
          <w:u w:val="single"/>
        </w:rPr>
        <w:t>Money Laundering</w:t>
      </w:r>
      <w:r>
        <w:rPr>
          <w:rFonts w:ascii="Times New Roman;Times;serif" w:hAnsi="Times New Roman;Times;serif"/>
          <w:color w:val="000000"/>
          <w:sz w:val="20"/>
        </w:rPr>
        <w:t>. The operations of the Company and its Subsidiaries are and have been conducted at all times in compliance with applicable financial record-keeping and reporting requirements of the Currency and Foreign Transactions Reporting Act of 1970, as amended, applicable money laundering statutes and applicable rules and regulations thereunder (collectively, the “</w:t>
      </w:r>
      <w:r>
        <w:rPr>
          <w:rFonts w:ascii="Times New Roman;Times;serif" w:hAnsi="Times New Roman;Times;serif"/>
          <w:color w:val="000000"/>
          <w:sz w:val="20"/>
          <w:u w:val="single"/>
        </w:rPr>
        <w:t>Money Laundering Laws</w:t>
      </w:r>
      <w:r>
        <w:rPr>
          <w:rFonts w:ascii="Times New Roman;Times;serif" w:hAnsi="Times New Roman;Times;serif"/>
          <w:color w:val="000000"/>
          <w:sz w:val="20"/>
        </w:rPr>
        <w:t>”), and no Action or Proceeding by or before any court or governmental agency, authority or body or any arbitrator involving the Company or any Subsidiary with respect to the Money Laundering Laws is pending or, to the knowledge of the Company or any Subsidiary, threatened in writing.</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24</w:t>
      </w:r>
    </w:p>
    <w:p>
      <w:pPr>
        <w:pStyle w:val="HorizontalLine"/>
        <w:pBdr>
          <w:bottom w:val="single" w:sz="12" w:space="0" w:color="808080"/>
        </w:pBdr>
        <w:bidi w:val="0"/>
        <w:spacing w:before="200" w:after="200"/>
        <w:jc w:val="left"/>
        <w:rPr/>
      </w:pPr>
      <w:r>
        <w:rPr/>
      </w:r>
    </w:p>
    <w:p>
      <w:pPr>
        <w:pStyle w:val="TextBody"/>
        <w:bidi w:val="0"/>
        <w:spacing w:lineRule="auto" w:line="300"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(pp)          </w:t>
      </w:r>
      <w:r>
        <w:rPr>
          <w:rFonts w:ascii="Times New Roman;Times;serif" w:hAnsi="Times New Roman;Times;serif"/>
          <w:color w:val="000000"/>
          <w:sz w:val="20"/>
          <w:u w:val="single"/>
        </w:rPr>
        <w:t>Private Placement</w:t>
      </w:r>
      <w:r>
        <w:rPr>
          <w:rFonts w:ascii="Times New Roman;Times;serif" w:hAnsi="Times New Roman;Times;serif"/>
          <w:color w:val="000000"/>
          <w:sz w:val="20"/>
        </w:rPr>
        <w:t>. Assuming the accuracy of the Purchasers’ representations and warranties set forth in Section 3.2, no registration under the Securities Act is required for the offer and sale of the Securities by the Company to the Purchasers as contemplated hereby. The issuance and sale of the Securities hereunder does not contravene the rules and regulations of the Trading Market.</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(qq)          </w:t>
      </w:r>
      <w:r>
        <w:rPr>
          <w:rFonts w:ascii="Times New Roman;Times;serif" w:hAnsi="Times New Roman;Times;serif"/>
          <w:color w:val="000000"/>
          <w:sz w:val="20"/>
          <w:u w:val="single"/>
        </w:rPr>
        <w:t>No General Solicitation</w:t>
      </w:r>
      <w:r>
        <w:rPr>
          <w:rFonts w:ascii="Times New Roman;Times;serif" w:hAnsi="Times New Roman;Times;serif"/>
          <w:color w:val="000000"/>
          <w:sz w:val="20"/>
        </w:rPr>
        <w:t>. Neither the Company nor any Person acting on behalf of the Company has offered or sold any of the Securities by any form of general solicitation or general advertising. The Company has offered the Securities for sale only to the Purchasers and certain other “accredited investors” within the meaning of Rule 501 under the Securities Act.</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(rr)          </w:t>
      </w:r>
      <w:r>
        <w:rPr>
          <w:rFonts w:ascii="Times New Roman;Times;serif" w:hAnsi="Times New Roman;Times;serif"/>
          <w:color w:val="000000"/>
          <w:sz w:val="20"/>
          <w:u w:val="single"/>
        </w:rPr>
        <w:t>No Disqualification Events</w:t>
      </w:r>
      <w:r>
        <w:rPr>
          <w:rFonts w:ascii="Times New Roman;Times;serif" w:hAnsi="Times New Roman;Times;serif"/>
          <w:color w:val="000000"/>
          <w:sz w:val="20"/>
        </w:rPr>
        <w:t>. With respect to the Securities to be offered and sold hereunder in reliance on Rule 506 under the Securities Act, none of the Company, any of its predecessors, any affiliated issuer, any director, executive officer, other officer of the Company participating in the offering hereunder, any beneficial owner of 20% or more of the Company’s outstanding voting equity securities, calculated on the basis of voting power, nor any promoter (as that term is defined in Rule 405 under the Securities Act) connected with the Company in any capacity at the time of sale (each, an “</w:t>
      </w:r>
      <w:r>
        <w:rPr>
          <w:rFonts w:ascii="Times New Roman;Times;serif" w:hAnsi="Times New Roman;Times;serif"/>
          <w:color w:val="000000"/>
          <w:sz w:val="20"/>
          <w:u w:val="single"/>
        </w:rPr>
        <w:t>Issuer Covered Person</w:t>
      </w:r>
      <w:r>
        <w:rPr>
          <w:rFonts w:ascii="Times New Roman;Times;serif" w:hAnsi="Times New Roman;Times;serif"/>
          <w:color w:val="000000"/>
          <w:sz w:val="20"/>
        </w:rPr>
        <w:t>” and, together, “</w:t>
      </w:r>
      <w:r>
        <w:rPr>
          <w:rFonts w:ascii="Times New Roman;Times;serif" w:hAnsi="Times New Roman;Times;serif"/>
          <w:color w:val="000000"/>
          <w:sz w:val="20"/>
          <w:u w:val="single"/>
        </w:rPr>
        <w:t>Issuer Covered Persons</w:t>
      </w:r>
      <w:r>
        <w:rPr>
          <w:rFonts w:ascii="Times New Roman;Times;serif" w:hAnsi="Times New Roman;Times;serif"/>
          <w:color w:val="000000"/>
          <w:sz w:val="20"/>
        </w:rPr>
        <w:t>”) is subject to any of the “Bad Actor” disqualifications described in Rule 506(d)(1)(i) to (viii) under the Securities Act (a “</w:t>
      </w:r>
      <w:r>
        <w:rPr>
          <w:rFonts w:ascii="Times New Roman;Times;serif" w:hAnsi="Times New Roman;Times;serif"/>
          <w:color w:val="000000"/>
          <w:sz w:val="20"/>
          <w:u w:val="single"/>
        </w:rPr>
        <w:t>Disqualification Event</w:t>
      </w:r>
      <w:r>
        <w:rPr>
          <w:rFonts w:ascii="Times New Roman;Times;serif" w:hAnsi="Times New Roman;Times;serif"/>
          <w:color w:val="000000"/>
          <w:sz w:val="20"/>
        </w:rPr>
        <w:t>”), except for a Disqualification Event covered by Rule 506(d)(2) or (d)(3). The Company has exercised reasonable care to determine whether any Issuer Covered Person is subject to a Disqualification Event. The Company has complied, to the extent applicable, with its disclosure obligations under Rule 506(e), and has furnished to the Purchasers a copy of any disclosures provided thereunder.</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(ss)          </w:t>
      </w:r>
      <w:r>
        <w:rPr>
          <w:rFonts w:ascii="Times New Roman;Times;serif" w:hAnsi="Times New Roman;Times;serif"/>
          <w:color w:val="000000"/>
          <w:sz w:val="20"/>
          <w:u w:val="single"/>
        </w:rPr>
        <w:t>Other Covered Persons</w:t>
      </w:r>
      <w:r>
        <w:rPr>
          <w:rFonts w:ascii="Times New Roman;Times;serif" w:hAnsi="Times New Roman;Times;serif"/>
          <w:color w:val="000000"/>
          <w:sz w:val="20"/>
        </w:rPr>
        <w:t>. The Company is not aware of any person (other than any Issuer Covered Person) that has been or will be paid (directly or indirectly) remuneration for solicitation of purchasers in connection with the sale of any Securities.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(tt)          </w:t>
      </w:r>
      <w:r>
        <w:rPr>
          <w:rFonts w:ascii="Times New Roman;Times;serif" w:hAnsi="Times New Roman;Times;serif"/>
          <w:color w:val="000000"/>
          <w:sz w:val="20"/>
          <w:u w:val="single"/>
        </w:rPr>
        <w:t>Notice of Disqualification Events</w:t>
      </w:r>
      <w:r>
        <w:rPr>
          <w:rFonts w:ascii="Times New Roman;Times;serif" w:hAnsi="Times New Roman;Times;serif"/>
          <w:color w:val="000000"/>
          <w:sz w:val="20"/>
        </w:rPr>
        <w:t>. The Company will notify the Purchasers in writing, prior to each applicable Closing Date of (i) any Disqualification Event relating to any Issuer Covered Person and (ii) any event that would, with the passage of time, reasonably be expected to become a Disqualification Event relating to any Issuer Covered Person.</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3.2          </w:t>
      </w:r>
      <w:r>
        <w:rPr>
          <w:rFonts w:ascii="Times New Roman;Times;serif" w:hAnsi="Times New Roman;Times;serif"/>
          <w:color w:val="000000"/>
          <w:sz w:val="20"/>
          <w:u w:val="single"/>
        </w:rPr>
        <w:t>Representations and Warranties of the Purchasers</w:t>
      </w:r>
      <w:r>
        <w:rPr>
          <w:rFonts w:ascii="Times New Roman;Times;serif" w:hAnsi="Times New Roman;Times;serif"/>
          <w:color w:val="000000"/>
          <w:sz w:val="20"/>
        </w:rPr>
        <w:t>. Each Purchaser, for itself and for no other Purchaser, hereby represents and warrants as of the date hereof and as of each applicable Closing Date to the Company as follows (unless as of a specific date therein, in which case they shall be accurate as of such date):</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(a)          </w:t>
      </w:r>
      <w:r>
        <w:rPr>
          <w:rFonts w:ascii="Times New Roman;Times;serif" w:hAnsi="Times New Roman;Times;serif"/>
          <w:color w:val="000000"/>
          <w:sz w:val="20"/>
          <w:u w:val="single"/>
        </w:rPr>
        <w:t>Organization; Authority</w:t>
      </w:r>
      <w:r>
        <w:rPr>
          <w:rFonts w:ascii="Times New Roman;Times;serif" w:hAnsi="Times New Roman;Times;serif"/>
          <w:color w:val="000000"/>
          <w:sz w:val="20"/>
        </w:rPr>
        <w:t>. Such Purchaser is either an individual or an entity duly incorporated or formed, validly existing and in good standing under the laws of the jurisdiction of its incorporation or formation with full right, corporate, limited liability company or similar power and authority to enter into and to consummate the transactions contemplated by the Transaction Documents and otherwise to carry out its obligations hereunder and thereunder. The execution and delivery of the Transaction Documents and performance by such Purchaser of the transactions contemplated by the Transaction Documents have been duly authorized by all necessary corporate, partnership, limited liability company or similar action, as applicable, on the part of such Purchaser. Each Transaction Document to which it is a party has been duly executed by such Purchaser, and when delivered by such Purchaser in accordance with the terms hereof, will constitute the valid and legally binding obligation of such Purchaser, enforceable against it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25</w:t>
      </w:r>
    </w:p>
    <w:p>
      <w:pPr>
        <w:pStyle w:val="HorizontalLine"/>
        <w:pBdr>
          <w:bottom w:val="single" w:sz="12" w:space="0" w:color="808080"/>
        </w:pBdr>
        <w:bidi w:val="0"/>
        <w:spacing w:before="200" w:after="200"/>
        <w:jc w:val="left"/>
        <w:rPr/>
      </w:pPr>
      <w:r>
        <w:rPr/>
      </w:r>
    </w:p>
    <w:p>
      <w:pPr>
        <w:pStyle w:val="TextBody"/>
        <w:bidi w:val="0"/>
        <w:spacing w:lineRule="auto" w:line="300"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(b)          </w:t>
      </w:r>
      <w:r>
        <w:rPr>
          <w:rFonts w:ascii="Times New Roman;Times;serif" w:hAnsi="Times New Roman;Times;serif"/>
          <w:color w:val="000000"/>
          <w:sz w:val="20"/>
          <w:u w:val="single"/>
        </w:rPr>
        <w:t>Understandings or Arrangements</w:t>
      </w:r>
      <w:r>
        <w:rPr>
          <w:rFonts w:ascii="Times New Roman;Times;serif" w:hAnsi="Times New Roman;Times;serif"/>
          <w:color w:val="000000"/>
          <w:sz w:val="20"/>
        </w:rPr>
        <w:t>. Such Purchaser is acquiring the Securities hereunder in the ordinary course of its business. Such Purchaser understands that the Securities are “restricted securities” and have not been registered under the Securities Act or any applicable state securities law and is acquiring such Securities as principal for his, her or its own account and not with a view to or for distributing or reselling such Securities or any part thereof in violation of the Securities Act or any applicable state securities law, has no present intention of distributing any of such Securities in violation of the Securities Act or any applicable state securities law and has no direct or indirect arrangement or understandings with any other persons to distribute or regarding the distribution of such Securities in violation of the Securities Act or any applicable state securities law (this representation and warranty not limiting such Purchaser’s right to sell such Securities pursuant to a registration statement or otherwise in compliance with applicable federal and state securities laws).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(c)          </w:t>
      </w:r>
      <w:r>
        <w:rPr>
          <w:rFonts w:ascii="Times New Roman;Times;serif" w:hAnsi="Times New Roman;Times;serif"/>
          <w:color w:val="000000"/>
          <w:sz w:val="20"/>
          <w:u w:val="single"/>
        </w:rPr>
        <w:t>Purchaser Status</w:t>
      </w:r>
      <w:r>
        <w:rPr>
          <w:rFonts w:ascii="Times New Roman;Times;serif" w:hAnsi="Times New Roman;Times;serif"/>
          <w:color w:val="000000"/>
          <w:sz w:val="20"/>
        </w:rPr>
        <w:t>. At the time such Purchaser was offered the Securities, it was, and as of the date hereof it is, and on each date on which it converts any Notes or exercises any Warrants, it will be either (i) an “accredited investor” as defined in Rule 501(a)(1), (a)(2), (a)(3), (a)(7), (a)(8), (a)(9), (a)(12), or (a)(13) under the Securities Act or (ii) a “qualified institutional buyer” as defined in Rule 144A(a) under the Securities Act.</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(d)          </w:t>
      </w:r>
      <w:r>
        <w:rPr>
          <w:rFonts w:ascii="Times New Roman;Times;serif" w:hAnsi="Times New Roman;Times;serif"/>
          <w:color w:val="000000"/>
          <w:sz w:val="20"/>
          <w:u w:val="single"/>
        </w:rPr>
        <w:t>General Solicitation</w:t>
      </w:r>
      <w:r>
        <w:rPr>
          <w:rFonts w:ascii="Times New Roman;Times;serif" w:hAnsi="Times New Roman;Times;serif"/>
          <w:color w:val="000000"/>
          <w:sz w:val="20"/>
        </w:rPr>
        <w:t>. Such Purchaser is not, to such Purchaser’s knowledge, purchasing the Securities as a result of any advertisement, article, notice or other communication regarding the Securities published in any newspaper, magazine or similar media or broadcast over television or radio or presented at any seminar or, to the knowledge of such Purchaser, any other general solicitation or general advertisement.</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(e)          </w:t>
      </w:r>
      <w:r>
        <w:rPr>
          <w:rFonts w:ascii="Times New Roman;Times;serif" w:hAnsi="Times New Roman;Times;serif"/>
          <w:color w:val="000000"/>
          <w:sz w:val="20"/>
          <w:u w:val="single"/>
        </w:rPr>
        <w:t>Brokers and Finders</w:t>
      </w:r>
      <w:r>
        <w:rPr>
          <w:rFonts w:ascii="Times New Roman;Times;serif" w:hAnsi="Times New Roman;Times;serif"/>
          <w:color w:val="000000"/>
          <w:sz w:val="20"/>
        </w:rPr>
        <w:t>. The Purchaser has not retained, utilized or been represented by any broker or finder in connection with the transactions contemplated by this Agreement whose fees the Company would be required to pay.</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(f)          </w:t>
      </w:r>
      <w:r>
        <w:rPr>
          <w:rFonts w:ascii="Times New Roman;Times;serif" w:hAnsi="Times New Roman;Times;serif"/>
          <w:color w:val="000000"/>
          <w:sz w:val="20"/>
          <w:u w:val="single"/>
        </w:rPr>
        <w:t>Experience of Such Purchaser</w:t>
      </w:r>
      <w:r>
        <w:rPr>
          <w:rFonts w:ascii="Times New Roman;Times;serif" w:hAnsi="Times New Roman;Times;serif"/>
          <w:color w:val="000000"/>
          <w:sz w:val="20"/>
        </w:rPr>
        <w:t>. Such Purchaser, either alone or together with its representatives, has such knowledge, sophistication and experience in business and financial matters so as to be capable of evaluating the merits and risks of the prospective investment in the Securities, and has so evaluated the merits and risks of such investment. Such Purchaser is able to bear the economic risk of an investment in the Securities and, at the present time, is able to afford a complete loss of such investment. The Purchaser acknowledges that the Purchaser is aware that there are substantial risks incident to the purchase and ownership of the Securities, including those set forth in the Company’s SEC Reports. Alone, or together with any professional advisor(s), the Purchaser has adequately analyzed and fully considered the risks of an investment in the Securities and determined that the Securities are a suitable investment for the Purchaser. The Purchaser is, at this time and in the foreseeable future, able to afford the loss of the Purchaser’s entire investment in the Securities and the Purchaser acknowledges specifically that a possibility of total loss exists.</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26</w:t>
      </w:r>
    </w:p>
    <w:p>
      <w:pPr>
        <w:pStyle w:val="HorizontalLine"/>
        <w:pBdr>
          <w:bottom w:val="single" w:sz="12" w:space="0" w:color="808080"/>
        </w:pBdr>
        <w:bidi w:val="0"/>
        <w:spacing w:before="200" w:after="200"/>
        <w:jc w:val="left"/>
        <w:rPr/>
      </w:pPr>
      <w:r>
        <w:rPr/>
      </w:r>
    </w:p>
    <w:p>
      <w:pPr>
        <w:pStyle w:val="TextBody"/>
        <w:bidi w:val="0"/>
        <w:spacing w:lineRule="auto" w:line="300"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(g)          </w:t>
      </w:r>
      <w:r>
        <w:rPr>
          <w:rFonts w:ascii="Times New Roman;Times;serif" w:hAnsi="Times New Roman;Times;serif"/>
          <w:color w:val="000000"/>
          <w:sz w:val="20"/>
          <w:u w:val="single"/>
        </w:rPr>
        <w:t>No Governmental Review</w:t>
      </w:r>
      <w:r>
        <w:rPr>
          <w:rFonts w:ascii="Times New Roman;Times;serif" w:hAnsi="Times New Roman;Times;serif"/>
          <w:color w:val="000000"/>
          <w:sz w:val="20"/>
        </w:rPr>
        <w:t>. Such Purchaser understands that no United States agency or any other government or governmental agency has passed on or made any recommendation or endorsement of the Securities or the fairness or suitability of the investment in the Securities nor have such authorities passed upon or endorsed the merits of the offering of the Securities.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(h)          </w:t>
      </w:r>
      <w:r>
        <w:rPr>
          <w:rFonts w:ascii="Times New Roman;Times;serif" w:hAnsi="Times New Roman;Times;serif"/>
          <w:color w:val="000000"/>
          <w:sz w:val="20"/>
          <w:u w:val="single"/>
        </w:rPr>
        <w:t>Access to Information</w:t>
      </w:r>
      <w:r>
        <w:rPr>
          <w:rFonts w:ascii="Times New Roman;Times;serif" w:hAnsi="Times New Roman;Times;serif"/>
          <w:color w:val="000000"/>
          <w:sz w:val="20"/>
        </w:rPr>
        <w:t>. Such Purchaser acknowledges that it has reviewed the Transaction Documents (including all exhibits and schedules thereto) and the SEC Reports and has been afforded, (i) the opportunity to ask such questions as it has deemed necessary of, and to receive answers from, representatives of the Company concerning the terms and conditions of the offering of the Securities and the merits and risks of investing in the Securities; (ii) access to information about the Company and its financial condition, results of operations, business, properties, management and prospects sufficient to enable it to evaluate its investment; and (iii) the opportunity to obtain such additional information that the Company possesses or can acquire without unreasonable effort or expense that is necessary to make an informed investment decision with respect to the investment.</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The Company acknowledges and agrees that the representations contained in this Section 3.2 shall not modify, amend or affect such Purchaser’s right to rely on the Company’s representations and warranties contained in this Agreement or any representations and warranties contained in any other Transaction Document or any other document or instrument executed and/or delivered in connection with this Agreement or the consummation of the transactions contemplated hereby. Notwithstanding the foregoing, for the avoidance of doubt, nothing contained herein shall constitute a representation or warranty, or preclude any actions, with respect to locating or borrowing shares in order to effect Short Sales or similar transactions in the future.</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ARTICLE IV.</w:t>
        <w:br/>
        <w:t>OTHER AGREEMENTS OF THE PARTIES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4.1          </w:t>
      </w:r>
      <w:r>
        <w:rPr>
          <w:rFonts w:ascii="Times New Roman;Times;serif" w:hAnsi="Times New Roman;Times;serif"/>
          <w:color w:val="000000"/>
          <w:sz w:val="20"/>
          <w:u w:val="single"/>
        </w:rPr>
        <w:t>Removal of Legends</w:t>
      </w:r>
      <w:r>
        <w:rPr>
          <w:rFonts w:ascii="Times New Roman;Times;serif" w:hAnsi="Times New Roman;Times;serif"/>
          <w:color w:val="000000"/>
          <w:sz w:val="20"/>
        </w:rPr>
        <w:t>.</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(a)          The Securities may only be disposed of in compliance with state and federal securities laws. In connection with any transfer of Securities other than pursuant to an effective registration statement or Rule 144, to the Company or to an Affiliate of a Purchaser or in connection with a pledge as contemplated in Section 4.1(b), the Company may require the transferor thereof to provide to the Company an opinion of counsel selected by the transferor and reasonably acceptable to the Company, the form and substance of which opinion shall be reasonably satisfactory to the Company, to the effect that such transfer does not require registration of such transferred Security under the Securities Act. As a condition of transfer, any such transferee shall agree in writing to be bound by the terms of this Agreement and shall have the rights and obligations of a Purchaser under this Agreement.</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27</w:t>
      </w:r>
    </w:p>
    <w:p>
      <w:pPr>
        <w:pStyle w:val="HorizontalLine"/>
        <w:pBdr>
          <w:bottom w:val="single" w:sz="12" w:space="0" w:color="808080"/>
        </w:pBdr>
        <w:bidi w:val="0"/>
        <w:spacing w:before="200" w:after="200"/>
        <w:jc w:val="left"/>
        <w:rPr/>
      </w:pPr>
      <w:r>
        <w:rPr/>
      </w:r>
    </w:p>
    <w:p>
      <w:pPr>
        <w:pStyle w:val="TextBody"/>
        <w:bidi w:val="0"/>
        <w:spacing w:lineRule="auto" w:line="300"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(b)          The Purchasers agree to the imprinting, so long as is required by this Section 4.1, of a legend on any of the Securities in the following form:</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hanging="0"/>
        <w:jc w:val="both"/>
        <w:rPr>
          <w:rFonts w:ascii="Times New Roman;Times;serif" w:hAnsi="Times New Roman;Times;serif"/>
          <w:color w:val="000000"/>
          <w:sz w:val="20"/>
        </w:rPr>
      </w:pPr>
      <w:r>
        <w:rPr>
          <w:rFonts w:ascii="Times New Roman;Times;serif" w:hAnsi="Times New Roman;Times;serif"/>
          <w:color w:val="000000"/>
          <w:sz w:val="20"/>
        </w:rPr>
        <w:t>NEITHER THIS SECURITY NOR THE SECURITIES INTO WHICH THIS SECURITY IS EXERCISABLE OR CONVERTIBLE INTO HAVE BEEN REGISTERED WITH THE SECURITIES AND EXCHANGE COMMISSION OR THE SECURITIES COMMISSION OF ANY STATE IN RELIANCE UPON AN EXEMPTION FROM REGISTRATION UNDER THE SECURITIES ACT OF 1933, AS AMENDED (THE “</w:t>
      </w:r>
      <w:r>
        <w:rPr>
          <w:rFonts w:ascii="Times New Roman;Times;serif" w:hAnsi="Times New Roman;Times;serif"/>
          <w:color w:val="000000"/>
          <w:sz w:val="20"/>
          <w:u w:val="single"/>
        </w:rPr>
        <w:t>SECURITIES ACT</w:t>
      </w:r>
      <w:r>
        <w:rPr>
          <w:rFonts w:ascii="Times New Roman;Times;serif" w:hAnsi="Times New Roman;Times;serif"/>
          <w:color w:val="000000"/>
          <w:sz w:val="20"/>
        </w:rPr>
        <w: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 THIS SECURITY AND THE SECURITIES ISSUABLE UPON EXERCISE OR CONVERSION OF THIS SECURITY MAY BE PLEDGED IN CONNECTION WITH A BONA FIDE MARGIN ACCOUNT WITH A REGISTERED BROKER-DEALER OR OTHER LOAN WITH A FINANCIAL INSTITUTION THAT IS AN “ACCREDITED INVESTOR” AS DEFINED IN RULE 501(a) UNDER THE SECURITIES ACT OR OTHER LOAN SECURED BY SUCH SECURITIES.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The Company acknowledges and agrees that a Purchaser may from time to time pledge pursuant to a bona fide margin agreement with a registered broker-dealer or grant a security interest in some or all of the Securities to a financial institution that is an “accredited investor” as defined in Rule 501(a) under the Securities Act and, if required under the terms of such arrangement, such Purchaser may transfer pledged or secured Securities to the pledgees or secured parties. Such a pledge or transfer would not be subject to approval of the Company and no legal opinion of legal counsel of the pledgee, secured party or pledgor shall be required in connection therewith. Further, no notice shall be required of such pledge. At the appropriate Purchaser’s expense, the Company will execute and deliver such reasonable documentation as a pledgee or secured party of the Securities may reasonably request in connection with a pledge or transfer of the Securities.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(c)          In connection with any sale, assignment, transfer or other disposition of the Underlying Shares by the Purchaser pursuant to Rule 144 or pursuant to any other exemption under the Securities Act such that the Purchaser acquires freely tradable shares and upon compliance by the Purchaser with the requirements of the Transaction Documents, if requested by the Purchaser by notice to the Company, the Company shall request the Transfer Agent to remove any restrictive legends related to the book entry account holding such shares and make a new, unlegended entry for such book entry shares sold or disposed of without restrictive legends as soon as reasonably practicable following any such request therefor from the Purchaser provided that the Company has timely received from the Purchaser customary representations and other documentation reasonably acceptable to the Company in connection therewith. The Company shall be responsible for the fees of its Transfer Agent and its legal counsel associated with such legend removal. Subject to receipt from the Purchaser by the Company and the Transfer Agent of customary representations and other documentation reasonably acceptable to the Company and the Transfer Agent in connection therewith, upon the earliest of such time as the Underlying Shares (i) have been sold under the Securities Act pursuant to an effective registration statement; (ii) have been sold pursuant to Rule 144, or (iii) are eligible for resale under Rule 144(b)(1) without the requirement for the Company to be in compliance with the current public information requirements under Rule 144(c)(1) (or any successor provision), the Company shall, in accordance with the provisions of this Section 4.1(c) and as soon as reasonably practicable following any request therefor from the Purchaser accompanied by such customary and reasonably acceptable documentation referred to above, (A) deliver to the Transfer Agent irrevocable instructions that the Transfer Agent shall make a new, unlegended entry for such book entry shares, and (B) cause its counsel to deliver to the Transfer Agent one or more opinions to the effect that the removal of such legends in such circumstances may be effected under the Securities Act if required by the Transfer Agent to effect the removal of the legend in accordance with the provisions of the Transaction Documents. The Company agrees that following such time as such legend is no longer required under this Section 4.1(c), it will, no later than the earlier of (i) one (1) Trading Day and (ii) the number of Trading Days comprising the Standard Settlement Period (as defined below) following the delivery by the Purchaser to the Company or the Transfer Agent of a certificate or book-entry statement representing the Underlying Shares, as applicable, issued with a restrictive legend (such date, the “Legend Removal Date”), deliver or cause to be delivered to such Purchaser a certificate or book-entry statement representing such shares that is free from all restrictive and other legends.  The Company may not make any notation on its records or give instructions to the Transfer Agent that enlarge the restrictions on transfer set forth in this Section 4.1(c).  Certificates or book entry statements for Underlying Shares subject to legend removal hereunder shall be transmitted by the Transfer Agent to the Purchaser by crediting the account of the Purchaser’s prime broker with the Depository Trust Company System as directed by such Purchaser. As used herein, “Standard Settlement Period” means the standard settlement period, expressed in a number of Trading Days, on the Company’s primary Trading Market with respect to the Ordinary Shares as in effect on the date of delivery of a certificate or book-entry statement representing Underlying Shares issued with a restrictive legend. Notwithstanding anything provided in this Section 4.1(c) herein, the restrictive legends related to the Underlying Shares shall only be removed (i) in connection with a sale pursuant to an effective registration statement or (ii) in connection with and pursuant to Rule 144 if the Purchaser has held the Underlying Shares for more than one (1) year.</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28</w:t>
      </w:r>
    </w:p>
    <w:p>
      <w:pPr>
        <w:pStyle w:val="HorizontalLine"/>
        <w:pBdr>
          <w:bottom w:val="single" w:sz="12" w:space="0" w:color="808080"/>
        </w:pBdr>
        <w:bidi w:val="0"/>
        <w:spacing w:before="200" w:after="200"/>
        <w:jc w:val="left"/>
        <w:rPr/>
      </w:pPr>
      <w:r>
        <w:rPr/>
      </w:r>
    </w:p>
    <w:p>
      <w:pPr>
        <w:pStyle w:val="TextBody"/>
        <w:bidi w:val="0"/>
        <w:spacing w:lineRule="auto" w:line="300"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(d)          In addition to such Purchaser’s other available remedies, the Company shall pay to a Purchaser, in cash, (i) as partial liquidated damages and not as a penalty, for each $1,000 of Underlying Shares (based on the VWAP of the Ordinary Shares on the date such Securities are submitted to the Transfer Agent) delivered for removal of the restrictive legend and subject to Section 4.1(c), $10 per Trading Day (increasing to $20 per Trading Day five (5) Trading Days after such damages have begun to accrue) for each Trading Day after the Legend Removal Date until such certificate or report is delivered without a legend and (ii) if the Company fails to (a) issue and deliver (or cause to be delivered) to a Purchaser by the Legend Removal Date a certificate or report representing the Underlying Shares so delivered to the Company by such Purchaser that is free from all restrictive and other legends and (b) if after the Legend Removal Date such Purchaser purchases (in an open market transaction or otherwise) Ordinary Shares, to deliver in satisfaction of a sale by such Purchaser of all or any portion of the number of Ordinary Shares, or a sale of a number of Ordinary Shares equal to all or any portion of the number of Ordinary Shares that such Purchaser anticipated receiving from the Company without any restrictive legend, then, an amount equal to the excess of such Purchaser’s total purchase price (including brokerage commissions and other out-of-pocket expenses, if any) for the Ordinary Shares so purchased (including brokerage commissions and other out-of-pocket expenses, if any) (the “</w:t>
      </w:r>
      <w:r>
        <w:rPr>
          <w:rFonts w:ascii="Times New Roman;Times;serif" w:hAnsi="Times New Roman;Times;serif"/>
          <w:color w:val="000000"/>
          <w:sz w:val="20"/>
          <w:u w:val="single"/>
        </w:rPr>
        <w:t>Buy-In Price</w:t>
      </w:r>
      <w:r>
        <w:rPr>
          <w:rFonts w:ascii="Times New Roman;Times;serif" w:hAnsi="Times New Roman;Times;serif"/>
          <w:color w:val="000000"/>
          <w:sz w:val="20"/>
        </w:rPr>
        <w:t>”) over the product of (A) such number of Underlying Shares that the Company was required to deliver to such Purchaser by the Legend Removal Date multiplied by (B) the lowest closing sale price of the Ordinary Shares on any Trading Day during the period commencing on the date of the delivery by such Purchaser to the Company of the applicable Underlying Shares (as the case may be) and ending on the date of such delivery and payment under this Section 4.1(d).</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4.2          </w:t>
      </w:r>
      <w:r>
        <w:rPr>
          <w:rFonts w:ascii="Times New Roman;Times;serif" w:hAnsi="Times New Roman;Times;serif"/>
          <w:color w:val="000000"/>
          <w:sz w:val="20"/>
          <w:u w:val="single"/>
        </w:rPr>
        <w:t>Acknowledgment of Dilution</w:t>
      </w:r>
      <w:r>
        <w:rPr>
          <w:rFonts w:ascii="Times New Roman;Times;serif" w:hAnsi="Times New Roman;Times;serif"/>
          <w:color w:val="000000"/>
          <w:sz w:val="20"/>
        </w:rPr>
        <w:t>. The Company acknowledges that the issuance of the Securities may result in dilution of the outstanding Ordinary Shares, which dilution may be substantial under certain market conditions. The Company further acknowledges that its obligations under the Transaction Documents, including, without limitation, its obligation to issue the Underlying Shares pursuant to the Transaction Documents, are unconditional and absolute and not subject to any right of set off, counterclaim, delay or reduction, regardless of the effect of any such dilution or any claim the Company may have against any Purchaser and regardless of the dilutive effect that such issuance may have on the ownership of the other shareholders of the Company.</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4.3          </w:t>
      </w:r>
      <w:r>
        <w:rPr>
          <w:rFonts w:ascii="Times New Roman;Times;serif" w:hAnsi="Times New Roman;Times;serif"/>
          <w:color w:val="000000"/>
          <w:sz w:val="20"/>
          <w:u w:val="single"/>
        </w:rPr>
        <w:t>Furnishing of Information; Public Information</w:t>
      </w:r>
      <w:r>
        <w:rPr>
          <w:rFonts w:ascii="Times New Roman;Times;serif" w:hAnsi="Times New Roman;Times;serif"/>
          <w:color w:val="000000"/>
          <w:sz w:val="20"/>
        </w:rPr>
        <w:t>.</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(a)          Until such time that no Purchaser owns Securities, the Company covenants to maintain the registration of the Ordinary Shares under Section 12(b) or 12(g) of the Exchange Act and to timely file (or obtain extensions in respect thereof and file within the applicable grace period) all reports required to be filed by the Company after the date hereof pursuant to the Exchange Act even if the Company is not then subject to the reporting requirements of the Exchange Act.</w:t>
      </w:r>
    </w:p>
    <w:p>
      <w:pPr>
        <w:pStyle w:val="TextBody"/>
        <w:bidi w:val="0"/>
        <w:spacing w:lineRule="auto" w:line="300" w:before="0" w:after="0"/>
        <w:jc w:val="left"/>
        <w:rPr>
          <w:color w:val="000000"/>
        </w:rPr>
      </w:pPr>
      <w:r>
        <w:rPr>
          <w:color w:val="000000"/>
        </w:rPr>
        <w:t> </w:t>
      </w:r>
    </w:p>
    <w:p>
      <w:pPr>
        <w:pStyle w:val="TextBody"/>
        <w:bidi w:val="0"/>
        <w:spacing w:lineRule="auto" w:line="240"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(b)          At any time during the period commencing from the six (6) month anniversary of the date hereof and ending at such time that all of the Conversion Shares and the Warrant Shares (assuming cashless exercise) may be sold without the requirement for the Company to be in compliance with Rule 144(c)(1) and otherwise without restriction or limitation pursuant to Rule 144, if the Company (i) shall fail for any reason to satisfy the current public information requirement under Rule 144(c) or (ii) has ever been an issuer described in Rule 144(i)(1)(i) or becomes an issuer in the future, and the Company shall fail to satisfy any condition set forth in Rule 144(i)(2) (a “</w:t>
      </w:r>
      <w:r>
        <w:rPr>
          <w:rFonts w:ascii="Times New Roman;Times;serif" w:hAnsi="Times New Roman;Times;serif"/>
          <w:color w:val="000000"/>
          <w:sz w:val="20"/>
          <w:u w:val="single"/>
        </w:rPr>
        <w:t>Public Information Failure</w:t>
      </w:r>
      <w:r>
        <w:rPr>
          <w:rFonts w:ascii="Times New Roman;Times;serif" w:hAnsi="Times New Roman;Times;serif"/>
          <w:color w:val="000000"/>
          <w:sz w:val="20"/>
        </w:rPr>
        <w:t>”) then, in addition to such Purchaser’s other available remedies, the Company shall pay to a Purchaser, in cash, as partial liquidated damages and not as a penalty, by reason of any such delay in or reduction of its ability to sell the Underlying Shares, an amount in cash equal to two percent (2.0%) of the aggregate Subscription Amount of such Purchaser’s Securities on the day of a Public Information Failure and on every thirtieth (30th) day (pro rated for periods totaling less than thirty days) thereafter until the earlier of (a) the date such Public Information Failure is cured and (b) such time that such public information is no longer required for the Purchasers to transfer the Underlying Shares pursuant to Rule 144.  The payments to which a Purchaser shall be entitled pursuant to this Section 4.3(b) are referred to herein as “</w:t>
      </w:r>
      <w:r>
        <w:rPr>
          <w:rFonts w:ascii="Times New Roman;Times;serif" w:hAnsi="Times New Roman;Times;serif"/>
          <w:color w:val="000000"/>
          <w:sz w:val="20"/>
          <w:u w:val="single"/>
        </w:rPr>
        <w:t>Public Information Failure Payments</w:t>
      </w:r>
      <w:r>
        <w:rPr>
          <w:rFonts w:ascii="Times New Roman;Times;serif" w:hAnsi="Times New Roman;Times;serif"/>
          <w:color w:val="000000"/>
          <w:sz w:val="20"/>
        </w:rPr>
        <w:t>.”  Public Information Failure Payments shall be paid on the earlier of (i) the last day of the calendar month during which such Public Information Failure Payments are incurred and (ii) the third (3rd) Business Day after the event or failure giving rise to the Public Information Failure Payments is cured.  In the event the Company fails to make Public Information Failure Payments in a timely manner, such Public Information Failure Payments shall bear interest at the rate of one and a half percent (1.5)% per month (prorated for partial months) until paid in full. Nothing herein shall limit such Purchaser’s right to pursue actual damages for the Public Information Failure, and such Purchaser shall have the right to pursue all remedies available to it at law or in equity including, without limitation, a decree of specific performance and/or injunctive relief.</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29</w:t>
      </w:r>
    </w:p>
    <w:p>
      <w:pPr>
        <w:pStyle w:val="HorizontalLine"/>
        <w:pBdr>
          <w:bottom w:val="single" w:sz="12" w:space="0" w:color="808080"/>
        </w:pBdr>
        <w:bidi w:val="0"/>
        <w:spacing w:before="200" w:after="200"/>
        <w:jc w:val="left"/>
        <w:rPr/>
      </w:pPr>
      <w:r>
        <w:rPr/>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4.4          </w:t>
      </w:r>
      <w:r>
        <w:rPr>
          <w:rFonts w:ascii="Times New Roman;Times;serif" w:hAnsi="Times New Roman;Times;serif"/>
          <w:color w:val="000000"/>
          <w:sz w:val="20"/>
          <w:u w:val="single"/>
        </w:rPr>
        <w:t>Integration</w:t>
      </w:r>
      <w:r>
        <w:rPr>
          <w:rFonts w:ascii="Times New Roman;Times;serif" w:hAnsi="Times New Roman;Times;serif"/>
          <w:color w:val="000000"/>
          <w:sz w:val="20"/>
        </w:rPr>
        <w:t>. The Company shall not sell, offer for sale or solicit offers to buy or otherwise negotiate in respect of any security (as defined in Section 2 of the Securities Act) that would be integrated with the offer or sale of the Securities in a manner that would require the registration under the Securities Act of the sale of the Securities or that would be integrated with the offer or sale of the Securities for purposes of the rules and regulations of any Trading Market such that it would require shareholder approval prior to the closing of such other transaction.</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4.5          </w:t>
      </w:r>
      <w:r>
        <w:rPr>
          <w:rFonts w:ascii="Times New Roman;Times;serif" w:hAnsi="Times New Roman;Times;serif"/>
          <w:color w:val="000000"/>
          <w:sz w:val="20"/>
          <w:u w:val="single"/>
        </w:rPr>
        <w:t>Conversion and Exercise Procedures</w:t>
      </w:r>
      <w:r>
        <w:rPr>
          <w:rFonts w:ascii="Times New Roman;Times;serif" w:hAnsi="Times New Roman;Times;serif"/>
          <w:color w:val="000000"/>
          <w:sz w:val="20"/>
        </w:rPr>
        <w:t>. The form of Notice of Conversion included in the Notes and the form of Notice of Exercise included in the Warrants set forth the totality of the procedures required of the Purchasers in order to convert the Notes or exercise the Warrants, as applicable. Without limiting the preceding sentence, no ink-original Notice of Conversion or Notice of Exercise shall be required, nor shall any medallion guarantee (or other type of guarantee or notarization) of any Notice of Conversion form or Notice of Exercise form be required in order to convert the Notes or exercise the Warrants, as applicable. No additional legal opinion, other information or instructions shall be required of the Purchasers to convert their Notes or exercise their Warrants, as applicable. The Company shall honor conversions of the Notes and exercises of the Warrants and shall deliver Underlying Shares in accordance with the terms, conditions and time periods set forth in the Transaction Documents.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4.6          </w:t>
      </w:r>
      <w:r>
        <w:rPr>
          <w:rFonts w:ascii="Times New Roman;Times;serif" w:hAnsi="Times New Roman;Times;serif"/>
          <w:color w:val="000000"/>
          <w:sz w:val="20"/>
          <w:u w:val="single"/>
        </w:rPr>
        <w:t>Securities Laws Disclosure; Publicity</w:t>
      </w:r>
      <w:r>
        <w:rPr>
          <w:rFonts w:ascii="Times New Roman;Times;serif" w:hAnsi="Times New Roman;Times;serif"/>
          <w:color w:val="000000"/>
          <w:sz w:val="20"/>
        </w:rPr>
        <w:t>. The Company shall (a) by the Disclosure Time, issue a press release disclosing the material terms of the transactions contemplated hereby, and (b) file a Current Report on Form 8-K, including the Transaction Documents as exhibits thereto, with the Commission within the time required by the Exchange Act. From and after the issuance of such Current Report on Form 8-K, the Company represents to the Purchasers that it shall have publicly disclosed all material, non-public information delivered to any of the Purchasers by the Company or any of its Subsidiaries, or any of their respective officers, directors, employees, Affiliates or agents in connection with the transactions contemplated by the Transaction Documents. In addition, effective upon the issuance of such press release, the Company acknowledges and agrees that any and all confidentiality or similar obligations under any agreement, whether written or oral, between the Company, any of its Subsidiaries or any of their respective officers, directors, employees, Affiliates or agents, on the one hand, and any of the Purchasers or any of their Affiliates on the other hand, shall terminate and be of no further force or effect. The Company understands and confirms that each Purchaser shall be relying on the foregoing covenant in effecting transactions in securities of the Company. The Company and each Purchaser shall consult with each other in issuing any other press releases with respect to the transactions contemplated hereby, and neither the Company nor any Purchaser shall issue any such press release nor otherwise make any such public statement without the prior consent of the Company, with respect to any press release of any Purchaser, or without the prior consent of each Purchaser, with respect to any press release of the Company, which consent shall not unreasonably be withheld or delayed, except if such disclosure is required by law, in which case the disclosing party shall promptly provide the other party with prior notice of such public statement or communication. Notwithstanding the foregoing, the Company shall not publicly disclose the name of any Purchaser, or include the name of any Purchaser in any filing with the Commission or any regulatory agency or Trading Market, without the prior written consent of such Purchaser, except (a) as required by federal securities law in connection with the filing of final Transaction Documents with the Commission and (b) to the extent such disclosure is required by law or Trading Market regulations, in which case the Company shall provide the Purchasers with prior notice of such disclosure permitted under this clause (b) and reasonably cooperate with such Purchaser regarding such disclosure.</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30</w:t>
      </w:r>
    </w:p>
    <w:p>
      <w:pPr>
        <w:pStyle w:val="HorizontalLine"/>
        <w:pBdr>
          <w:bottom w:val="single" w:sz="12" w:space="0" w:color="808080"/>
        </w:pBdr>
        <w:bidi w:val="0"/>
        <w:spacing w:before="200" w:after="200"/>
        <w:jc w:val="left"/>
        <w:rPr/>
      </w:pPr>
      <w:r>
        <w:rPr/>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4.7          </w:t>
      </w:r>
      <w:r>
        <w:rPr>
          <w:rFonts w:ascii="Times New Roman;Times;serif" w:hAnsi="Times New Roman;Times;serif"/>
          <w:color w:val="000000"/>
          <w:sz w:val="20"/>
          <w:u w:val="single"/>
        </w:rPr>
        <w:t>Shareholder Rights Plan</w:t>
      </w:r>
      <w:r>
        <w:rPr>
          <w:rFonts w:ascii="Times New Roman;Times;serif" w:hAnsi="Times New Roman;Times;serif"/>
          <w:color w:val="000000"/>
          <w:sz w:val="20"/>
        </w:rPr>
        <w:t>. No claim will be made or enforced by the Company or, with the consent of the Company, any other Person, that any Purchaser is an “</w:t>
      </w:r>
      <w:r>
        <w:rPr>
          <w:rFonts w:ascii="Times New Roman;Times;serif" w:hAnsi="Times New Roman;Times;serif"/>
          <w:color w:val="000000"/>
          <w:sz w:val="20"/>
          <w:u w:val="single"/>
        </w:rPr>
        <w:t>Acquiring Person</w:t>
      </w:r>
      <w:r>
        <w:rPr>
          <w:rFonts w:ascii="Times New Roman;Times;serif" w:hAnsi="Times New Roman;Times;serif"/>
          <w:color w:val="000000"/>
          <w:sz w:val="20"/>
        </w:rPr>
        <w:t>” under any control share acquisition, business combination, poison pill (including any distribution under a rights agreement) or similar anti-takeover plan or arrangement in effect or hereafter adopted by the Company, or that any Purchaser could be deemed to trigger the provisions of any such plan or arrangement, by virtue of receiving Securities under the Transaction Documents or under any other agreement between the Company and the Purchasers.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4.8          </w:t>
      </w:r>
      <w:r>
        <w:rPr>
          <w:rFonts w:ascii="Times New Roman;Times;serif" w:hAnsi="Times New Roman;Times;serif"/>
          <w:color w:val="000000"/>
          <w:sz w:val="20"/>
          <w:u w:val="single"/>
        </w:rPr>
        <w:t>Non-Public Information</w:t>
      </w:r>
      <w:r>
        <w:rPr>
          <w:rFonts w:ascii="Times New Roman;Times;serif" w:hAnsi="Times New Roman;Times;serif"/>
          <w:color w:val="000000"/>
          <w:sz w:val="20"/>
        </w:rPr>
        <w:t>. Except with respect to the material terms and conditions of the transactions contemplated by the Transaction Documents, which shall be disclosed pursuant to Section 4.6, the Company covenants and agrees that neither it, nor any other Person acting on its behalf will provide any Purchaser or its agents or counsel with any information that constitutes, or the Company reasonably believes constitutes, material, non-public information, unless prior thereto such Purchaser shall have consented in writing to the receipt of such information and agreed in writing with the Company to keep such information confidential. The Company understands and confirms that each Purchaser shall be relying on the foregoing covenant in effecting transactions in securities of the Company. To the extent that the Company, any of its Subsidiaries, or any of their respective officers, directors, agents, employees, or Affiliates delivers any material, non-public information to a Purchaser without such Purchaser’s consent, the Company hereby covenants and agrees that such Purchaser shall not have any duty of confidentiality to the Company, any of its Subsidiaries, or any of their respective officers, directors, employees, Affiliates, or agents, or a duty to the Company, any of its Subsidiaries or any of their respective officers, directors, employees, Affiliates or agents, not to trade on the basis of, such material, non-public information, provided that the Purchaser shall remain subject to applicable law. To the extent that any notice provided pursuant to any Transaction Document constitutes, or contains, material, non-public information regarding the Company or any Subsidiaries, the Company shall simultaneously with the delivery of such notice file such notice with the Commission pursuant to a Current Report on Form 8-K. The Company understands and confirms that each Purchaser shall be relying on the foregoing covenant in effecting transactions in securities of the Company. In the event of a breach of the foregoing covenant by the Company or any of its Subsidiaries, or any of their respective directors, officers, employees and agents (as determined in the reasonable good faith judgment of the Purchasers), (i) the Purchasers shall promptly provide written notice of such breach to the Company and (ii) after such notice has been provided to the Company and, provided that the Company shall have failed to publicly disclose such material, non-public information within 24 hours following demand therefor by the Purchaser or the Company shall have failed to demonstrate to the Purchaser in writing within 24 hours that such information does not constitute material, non-public information, in addition to any other remedy provided herein or in the other Transaction Documents, if the Purchaser is holding any Securities at the time of the disclosure of material, non-public information, the Purchaser shall have the right to make a public disclosure, in the form of a press release, public advertisement or otherwise, of such material, non-public information without the prior approval by the Company, any of its Subsidiaries, or any of their respective directors, officers, employees or agents.</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31</w:t>
      </w:r>
    </w:p>
    <w:p>
      <w:pPr>
        <w:pStyle w:val="HorizontalLine"/>
        <w:pBdr>
          <w:bottom w:val="single" w:sz="12" w:space="0" w:color="808080"/>
        </w:pBdr>
        <w:bidi w:val="0"/>
        <w:spacing w:before="200" w:after="200"/>
        <w:jc w:val="left"/>
        <w:rPr/>
      </w:pPr>
      <w:r>
        <w:rPr/>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4.9          </w:t>
      </w:r>
      <w:r>
        <w:rPr>
          <w:rFonts w:ascii="Times New Roman;Times;serif" w:hAnsi="Times New Roman;Times;serif"/>
          <w:color w:val="000000"/>
          <w:sz w:val="20"/>
          <w:u w:val="single"/>
        </w:rPr>
        <w:t>Use of Proceeds</w:t>
      </w:r>
      <w:r>
        <w:rPr>
          <w:rFonts w:ascii="Times New Roman;Times;serif" w:hAnsi="Times New Roman;Times;serif"/>
          <w:color w:val="000000"/>
          <w:sz w:val="20"/>
        </w:rPr>
        <w:t>. The Company shall use the net proceeds from the sale of the Securities hereunder for working capital purposes, general corporate purposes, commercialization efforts and research and development costs, and shall not use such proceeds: (a) for the satisfaction of any portion of the Company’s debt (other than the Notes or the payment of trade payables in the ordinary course of the Company’s business and prior practices), (b) for the redemption of any Ordinary Shares or Ordinary Share Equivalents, (c) for the settlement of any outstanding litigation or (d) in violation of FCPA or OFAC regulations.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4.10          </w:t>
      </w:r>
      <w:r>
        <w:rPr>
          <w:rFonts w:ascii="Times New Roman;Times;serif" w:hAnsi="Times New Roman;Times;serif"/>
          <w:color w:val="000000"/>
          <w:sz w:val="20"/>
          <w:u w:val="single"/>
        </w:rPr>
        <w:t>Indemnification</w:t>
      </w:r>
      <w:r>
        <w:rPr>
          <w:rFonts w:ascii="Times New Roman;Times;serif" w:hAnsi="Times New Roman;Times;serif"/>
          <w:color w:val="000000"/>
          <w:sz w:val="20"/>
        </w:rPr>
        <w:t>. Subject to the provisions of this Section 4.10, the Company will indemnify and hold each Purchaser and its directors, officers, shareholders, members, partners, employees and agents (and any other Persons with a functionally equivalent role of a Person holding such titles notwithstanding a lack of such title or any other title), each Person who controls such Purchaser (within the meaning of Section 15 of the Securities Act and Section 20 of the Exchange Act), and the directors, officers, shareholders, agents, members, partners or employees (and any other Persons with a functionally equivalent role of a Person holding such titles notwithstanding a lack of such title or any other title) of such controlling persons (each, a “Purchaser Party”) harmless from any and all losses, liabilities, obligations, claims, contingencies, damages and reasonable and documented costs and expenses, including all judgments, amounts paid in settlements, court costs and reasonable and documented attorneys’ fees and costs of investigation that any such Purchaser Party may suffer or incur as a result of or relating to (a) any breach of any of the representations, warranties, covenants or agreements made by the Company in this Agreement or in the other Transaction Documents, (b) any action instituted against the Purchaser Parties in any capacity, or any of them or their respective Affiliates, by any shareholder of the Company who is not an Affiliate of such Purchaser Party, with respect to any of the transactions contemplated by the Transaction Documents (unless such action is solely based upon a material breach of such Purchaser Party’s representations, warranties or covenants under the Transaction Documents or any agreements or understandings such Purchaser Party may have with any such shareholder or any violations by such Purchaser Party of state or federal securities laws or any conduct by such Purchaser Party which is finally judicially determined to constitute fraud, gross negligence or willful misconduct), or (c) in connection with any registration statement of the Company providing for the resale by the Purchasers of the Underlying Shares, the Company will indemnify each Purchaser Party, to the fullest extent permitted by applicable law, from and against any and all losses, claims, damages, liabilities, reasonable and documented costs (including, without limitation, reasonable and documented attorneys’ fees) and expenses, as incurred, arising out of or relating to (i) any untrue or alleged untrue statement of a material fact contained in such registration statement, any prospectus or any form of prospectus or in any amendment or supplement thereto or in any preliminary prospectus, or arising out of or relating to any omission or alleged omission of a material fact required to be stated therein or necessary to make the statements therein (in the case of any prospectus or supplement thereto, in the light of the circumstances under which they were made) not misleading, except to the extent, but only to the extent, that such untrue statements or omissions are based solely upon information regarding such Purchaser Party furnished in writing to the Company by such Purchaser Party expressly for use therein, or (ii) any violation or alleged violation by the Company of the Securities Act, the Exchange Act or any state securities law, or any rule or regulation thereunder in connection therewith. If any action shall be brought against any Purchaser Party in respect of which indemnity may be sought pursuant to this Agreement, such Purchaser Party shall promptly notify the Company in writing, and, the Company shall have the right to assume the defense thereof with counsel of its own choosing reasonably acceptable to the Purchaser Party. Any Purchaser Party shall have the right to employ separate counsel in any such action and participate in the defense thereof, but the fees and expenses of such counsel shall be at the expense of such Purchaser Party except to the extent that (i) the employment thereof has been specifically authorized by the Company in writing, (ii) the Company has failed after a reasonable period of time to assume such defense and to employ counsel or (iii) in such action there is, in the reasonable opinion of counsel a material conflict on any material issue between the position of the Company and the position of such Purchaser Party, in which case the Company shall be responsible for the reasonable fees and expenses of no more than one such separate counsel. The Company will not be liable to any Purchaser Party under this Agreement (y) for any settlement by a Purchaser Party effected without the Company’s prior written consent, which shall not be unreasonably withheld or delayed; or (z) to the extent, but only to the extent that a loss, claim, damage or liability is attributable to any Purchaser Party’s breach of any of the representations, warranties, covenants or agreements made by such Purchaser Party in this Agreement or in the other Transaction Documents. The indemnification required by this Section 4.10 shall be made by periodic payments of the amount thereof during the course of the investigation or defense, as and when bills are received or are incurred. The indemnity agreements contained herein shall be in addition to any cause of action or similar right of any Purchaser Party against the Company or others and any liabilities the Company may be subject to pursuant to law.</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32</w:t>
      </w:r>
    </w:p>
    <w:p>
      <w:pPr>
        <w:pStyle w:val="HorizontalLine"/>
        <w:pBdr>
          <w:bottom w:val="single" w:sz="12" w:space="0" w:color="808080"/>
        </w:pBdr>
        <w:bidi w:val="0"/>
        <w:spacing w:before="200" w:after="200"/>
        <w:jc w:val="left"/>
        <w:rPr/>
      </w:pPr>
      <w:r>
        <w:rPr/>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4.11          </w:t>
      </w:r>
      <w:r>
        <w:rPr>
          <w:rFonts w:ascii="Times New Roman;Times;serif" w:hAnsi="Times New Roman;Times;serif"/>
          <w:color w:val="000000"/>
          <w:sz w:val="20"/>
          <w:u w:val="single"/>
        </w:rPr>
        <w:t>Reservation and Listing of Securities</w:t>
      </w:r>
      <w:r>
        <w:rPr>
          <w:rFonts w:ascii="Times New Roman;Times;serif" w:hAnsi="Times New Roman;Times;serif"/>
          <w:color w:val="000000"/>
          <w:sz w:val="20"/>
        </w:rPr>
        <w:t>.</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(a)          The Company shall maintain a reserve of the Required Minimum from its duly authorized Ordinary Shares for issuance pursuant to the Transaction Documents in such amount as may then be required to fulfill its obligations in full under the Transaction Documents.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(b)          If, on any date, the number of authorized but unissued (and otherwise unreserved) Ordinary Shares is less than the Required Minimum on such date (an “</w:t>
      </w:r>
      <w:r>
        <w:rPr>
          <w:rFonts w:ascii="Times New Roman;Times;serif" w:hAnsi="Times New Roman;Times;serif"/>
          <w:color w:val="000000"/>
          <w:sz w:val="20"/>
          <w:u w:val="single"/>
        </w:rPr>
        <w:t>Authorized Share Failure</w:t>
      </w:r>
      <w:r>
        <w:rPr>
          <w:rFonts w:ascii="Times New Roman;Times;serif" w:hAnsi="Times New Roman;Times;serif"/>
          <w:color w:val="000000"/>
          <w:sz w:val="20"/>
        </w:rPr>
        <w:t>”), as soon as practicable after the date of the occurrence of an Authorized Share Failure, but in no event later than sixty (60) days after the occurrence of such Authorized Share Failure, the Company shall hold a meeting of its shareholders for the approval of an increase in the number of authorized Ordinary Shares. In connection with such meeting, the Company shall provide each shareholder with a proxy statement and shall use its best efforts to solicit its shareholders’ approval of such increase in authorized Ordinary Shares and to cause its board of directors to recommend to the shareholders that they approve such proposal.</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(c)          The Company shall, if applicable: (i) in the time and manner required by the principal Trading Market, prepare and file with such Trading Market an additional shares listing application covering a number of Ordinary Shares at least equal to the Required Minimum on the date of such application, (ii) take all steps necessary to cause such Ordinary Shares to be approved for listing or quotation on such Trading Market as soon as possible thereafter, (iii) provide to the Purchasers evidence of such listing or quotation and (iv) maintain the listing or quotation of such Ordinary Shares on any date at least equal to the Required Minimum on such date on such Trading Market or another Trading Market. The Company agrees to maintain the eligibility of the Ordinary Shares for electronic transfer through the Depository Trust Company or another established clearing corporation, including, without limitation, by timely payment of fees to the Depository Trust Company or such other established clearing corporation in connection with such electronic transfer.</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4.12          </w:t>
      </w:r>
      <w:r>
        <w:rPr>
          <w:rFonts w:ascii="Times New Roman;Times;serif" w:hAnsi="Times New Roman;Times;serif"/>
          <w:color w:val="000000"/>
          <w:sz w:val="20"/>
          <w:u w:val="single"/>
        </w:rPr>
        <w:t>Shareholder Approval.</w:t>
      </w:r>
      <w:r>
        <w:rPr>
          <w:rFonts w:ascii="Times New Roman;Times;serif" w:hAnsi="Times New Roman;Times;serif"/>
          <w:color w:val="000000"/>
          <w:sz w:val="20"/>
        </w:rPr>
        <w:t> The Company shall, as promptly as practicable, and in any event within ninety (90) days of the Closing Date, hold a special meeting of shareholders (which may also be at the annual meeting of shareholders) at the earliest practical date for the purpose of obtaining Shareholder Approval, with the recommendation of the Company’s Board of Directors that such proposal be approved, and the Company shall solicit proxies from its shareholders in connection therewith in the same manner as all other management proposals in such proxy statement and all management-appointed proxyholders shall vote their proxies in favor of such proposal. The Company shall use its reasonable best efforts to obtain such Shareholder Approval. If the Company does not obtain Shareholder Approval at the first meeting, the Company shall call a meeting every seventy-five (75) days thereafter to seek Shareholder Approval until the earlier of the date Shareholder Approval is obtained or the Notes are no longer outstanding.</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4.13          </w:t>
      </w:r>
      <w:r>
        <w:rPr>
          <w:rFonts w:ascii="Times New Roman;Times;serif" w:hAnsi="Times New Roman;Times;serif"/>
          <w:color w:val="000000"/>
          <w:sz w:val="20"/>
          <w:u w:val="single"/>
        </w:rPr>
        <w:t>Subsequent Equity Sales</w:t>
      </w:r>
      <w:r>
        <w:rPr>
          <w:rFonts w:ascii="Times New Roman;Times;serif" w:hAnsi="Times New Roman;Times;serif"/>
          <w:color w:val="000000"/>
          <w:sz w:val="20"/>
        </w:rPr>
        <w:t>.</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(a)          From the date hereof until thirty (30) Trading Days following the Initial Closing Date, neither the Company nor any Subsidiary shall (i) issue, enter into any agreement to issue or announce the issuance or proposed issuance of any Ordinary Shares or Ordinary Share Equivalents or (ii) file any registration statement or any amendment or supplement thereto, other than (x) the filing of any registration statement or any amendment thereto with respect to the Underlying Shares, or  (y) the filing of a registration statement on Form S-8 in connection with any employee benefit plan. Notwithstanding the foregoing, this Section 4.13 shall not apply in respect of an Exempt Issuance.</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33</w:t>
      </w:r>
    </w:p>
    <w:p>
      <w:pPr>
        <w:pStyle w:val="HorizontalLine"/>
        <w:pBdr>
          <w:bottom w:val="single" w:sz="12" w:space="0" w:color="808080"/>
        </w:pBdr>
        <w:bidi w:val="0"/>
        <w:spacing w:before="200" w:after="200"/>
        <w:jc w:val="left"/>
        <w:rPr/>
      </w:pPr>
      <w:r>
        <w:rPr/>
      </w:r>
    </w:p>
    <w:p>
      <w:pPr>
        <w:pStyle w:val="TextBody"/>
        <w:bidi w:val="0"/>
        <w:spacing w:lineRule="auto" w:line="300"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(b)          At any time during the period commencing on the Effective Date (as defined below), and ending on the date on which no Notes or Warrants are outstanding (such period, the “</w:t>
      </w:r>
      <w:r>
        <w:rPr>
          <w:rFonts w:ascii="Times New Roman;Times;serif" w:hAnsi="Times New Roman;Times;serif"/>
          <w:color w:val="000000"/>
          <w:sz w:val="20"/>
          <w:u w:val="single"/>
        </w:rPr>
        <w:t>Adjustment Period</w:t>
      </w:r>
      <w:r>
        <w:rPr>
          <w:rFonts w:ascii="Times New Roman;Times;serif" w:hAnsi="Times New Roman;Times;serif"/>
          <w:color w:val="000000"/>
          <w:sz w:val="20"/>
        </w:rPr>
        <w:t>”), if the Company issues, sells, enters into an agreement to sell, or grants any option to purchase, or sells, enters into an agreement to sell, or grants any right to reprice, or otherwise disposes of or issues (or announces any offer, sale, grant or any option to purchase or other disposition), or, in accordance with this Section 4.13(b), is deemed to have issued or sold, any Ordinary Shares or Ordinary Share Equivalents for a consideration per share (the “</w:t>
      </w:r>
      <w:r>
        <w:rPr>
          <w:rFonts w:ascii="Times New Roman;Times;serif" w:hAnsi="Times New Roman;Times;serif"/>
          <w:color w:val="000000"/>
          <w:sz w:val="20"/>
          <w:u w:val="single"/>
        </w:rPr>
        <w:t>Dilutive Issuance Price</w:t>
      </w:r>
      <w:r>
        <w:rPr>
          <w:rFonts w:ascii="Times New Roman;Times;serif" w:hAnsi="Times New Roman;Times;serif"/>
          <w:color w:val="000000"/>
          <w:sz w:val="20"/>
        </w:rPr>
        <w:t>”) less than a price equal to the exercise price of the Warrants or conversion price of the Notes in effect immediately prior to such granting, issuance or sale or deemed granting, issuance or sale (such price, the “</w:t>
      </w:r>
      <w:r>
        <w:rPr>
          <w:rFonts w:ascii="Times New Roman;Times;serif" w:hAnsi="Times New Roman;Times;serif"/>
          <w:color w:val="000000"/>
          <w:sz w:val="20"/>
          <w:u w:val="single"/>
        </w:rPr>
        <w:t>Applicable Price</w:t>
      </w:r>
      <w:r>
        <w:rPr>
          <w:rFonts w:ascii="Times New Roman;Times;serif" w:hAnsi="Times New Roman;Times;serif"/>
          <w:color w:val="000000"/>
          <w:sz w:val="20"/>
        </w:rPr>
        <w:t>”) (the foregoing a “</w:t>
      </w:r>
      <w:r>
        <w:rPr>
          <w:rFonts w:ascii="Times New Roman;Times;serif" w:hAnsi="Times New Roman;Times;serif"/>
          <w:color w:val="000000"/>
          <w:sz w:val="20"/>
          <w:u w:val="single"/>
        </w:rPr>
        <w:t>Dilutive Issuance</w:t>
      </w:r>
      <w:r>
        <w:rPr>
          <w:rFonts w:ascii="Times New Roman;Times;serif" w:hAnsi="Times New Roman;Times;serif"/>
          <w:color w:val="000000"/>
          <w:sz w:val="20"/>
        </w:rPr>
        <w:t>”), then the exercise price of the Warrants and conversion price of the Notes shall be reduced to an amount equal to the Dilutive Issuance Price (the “</w:t>
      </w:r>
      <w:r>
        <w:rPr>
          <w:rFonts w:ascii="Times New Roman;Times;serif" w:hAnsi="Times New Roman;Times;serif"/>
          <w:color w:val="000000"/>
          <w:sz w:val="20"/>
          <w:u w:val="single"/>
        </w:rPr>
        <w:t>New Issuance Price</w:t>
      </w:r>
      <w:r>
        <w:rPr>
          <w:rFonts w:ascii="Times New Roman;Times;serif" w:hAnsi="Times New Roman;Times;serif"/>
          <w:color w:val="000000"/>
          <w:sz w:val="20"/>
        </w:rPr>
        <w:t>”). The Company shall notify the Purchaser, in writing, no later than the Trading Day following the issuance or deemed issuance of any Ordinary Shares or Ordinary Share Equivalents subject to this Section 4.13(b), indicating therein the applicable issuance price, or applicable reset price, exchange price, conversion price and other pricing terms (such notice, the “</w:t>
      </w:r>
      <w:r>
        <w:rPr>
          <w:rFonts w:ascii="Times New Roman;Times;serif" w:hAnsi="Times New Roman;Times;serif"/>
          <w:color w:val="000000"/>
          <w:sz w:val="20"/>
          <w:u w:val="single"/>
        </w:rPr>
        <w:t>Dilutive Issuance Notice</w:t>
      </w:r>
      <w:r>
        <w:rPr>
          <w:rFonts w:ascii="Times New Roman;Times;serif" w:hAnsi="Times New Roman;Times;serif"/>
          <w:color w:val="000000"/>
          <w:sz w:val="20"/>
        </w:rPr>
        <w:t>”).  If, during the Adjustment Period, the Company in any manner issues or sells or enters into any agreement to issue or sell, any Ordinary Shares, options or Ordinary Share Equivalents that are issuable pursuant to such agreement or convertible into or exchangeable or exercisable for Ordinary Shares at a price which varies or may vary with the market price of the Ordinary Shares, including by way of one or more reset(s) to a fixed price, but exclusive of such formulations reflecting customary anti-dilution provisions (such as share splits, share combinations, share dividends and similar transactions), the Company shall be deemed to have issued Ordinary Shares or Ordinary Share Equivalents at the lowest possible price, conversion price or exercise price at which such securities may be issued, converted or exercised.  Notwithstanding the foregoing, no adjustments shall be made under this Section 4.13(b) in respect of an Exempt Issuance. Notwithstanding anything in this Section 4.13(b) to the contrary, until Shareholder Approval to the extent required under the rules of the Nasdaq Stock Market has been obtained, no adjustment to the number of Underlying Shares pursuant to this shall be effected to the extent such adjustment would, when aggregated with all other Ordinary Shares issued or issuable to the Purchasers pursuant to the Transaction Documents, result in the issuance of a number of Ordinary Shares in excess of 19.99% of the Ordinary Shares issued and outstanding immediately prior to the execution of the Purchase Agreement (subject to equitable adjustment for any share split, share dividend, recapitalization or similar event affecting the Ordinary Shares). This Section 4.13(b) shall not be deemed effective and entered into between the parties until June 26, 2026 (the “Effective Date”).</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1080" w:right="0" w:firstLine="720"/>
        <w:jc w:val="both"/>
        <w:rPr>
          <w:rFonts w:ascii="Times New Roman;Times;serif" w:hAnsi="Times New Roman;Times;serif"/>
          <w:color w:val="000000"/>
          <w:sz w:val="20"/>
        </w:rPr>
      </w:pPr>
      <w:r>
        <w:rPr>
          <w:rFonts w:ascii="Times New Roman;Times;serif" w:hAnsi="Times New Roman;Times;serif"/>
          <w:color w:val="000000"/>
          <w:sz w:val="20"/>
        </w:rPr>
        <w:t>i.          </w:t>
      </w:r>
      <w:r>
        <w:rPr>
          <w:rFonts w:ascii="Times New Roman;Times;serif" w:hAnsi="Times New Roman;Times;serif"/>
          <w:color w:val="000000"/>
          <w:sz w:val="20"/>
          <w:u w:val="single"/>
        </w:rPr>
        <w:t>Issuance of Options</w:t>
      </w:r>
      <w:r>
        <w:rPr>
          <w:rFonts w:ascii="Times New Roman;Times;serif" w:hAnsi="Times New Roman;Times;serif"/>
          <w:color w:val="000000"/>
          <w:sz w:val="20"/>
        </w:rPr>
        <w:t>.  During the Adjustment Period, if the Company in any manner grants, issues or sells (or enters into any agreement to grant, issue or sell) any options and the lowest price per share for which one Ordinary Share is at any time issuable upon the exercise of any such option or upon conversion, exercise or exchange of any Ordinary Share Equivalents issuable upon exercise of any such option or otherwise pursuant to the terms thereof is less than the Applicable Price, then such Ordinary Share shall be deemed to be outstanding and to have been issued and sold by the Company at the time of the granting, issuance or sale (or the time of execution of such agreement to grant, issue or sell, as applicable)  of such option for such price per share.  For purposes of this Section 4.13(b)(i), the “lowest price per share for which one Ordinary Share is at any time issuable upon the exercise of any such options or upon conversion, exercise or exchange of any Ordinary Share Equivalents issuable upon exercise of any such option or otherwise pursuant to the terms thereof”  shall be equal to (1) the lower of (x) the sum of the lowest amounts of consideration (if any) received or receivable by the Company with respect to any one Ordinary Share upon the granting, issuance or sale (or pursuant to the agreement to grant, issue or sell, as applicable) of such option, upon exercise of such option and upon conversion, exercise or exchange of any Ordinary Share Equivalent issuable upon exercise of such option or otherwise pursuant to the terms thereof and (y) the lowest exercise price set forth in such option for which one Ordinary Share is issuable (or may become issuable assuming all possible market conditions) upon the exercise of any such options or upon conversion, exercise or exchange of any Ordinary Share Equivalents issuable upon exercise of any such option or otherwise pursuant to the terms thereof minus (2) the sum of all amounts paid or payable to the holder of such Option (or any other Person) upon the granting, issuance or sale (or the agreement to grant, issue or sell, as applicable) such option, upon exercise of such option and upon conversion, exercise or exchange of any Ordinary Share Equivalent issuable upon exercise of such option or otherwise pursuant to the terms thereof plus the value of any other consideration received or receivable by, or benefit conferred on, the holder of such option (or any other Person).</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1080" w:right="0" w:firstLine="720"/>
        <w:jc w:val="both"/>
        <w:rPr>
          <w:rFonts w:ascii="Times New Roman;Times;serif" w:hAnsi="Times New Roman;Times;serif"/>
          <w:color w:val="000000"/>
          <w:sz w:val="20"/>
        </w:rPr>
      </w:pPr>
      <w:r>
        <w:rPr>
          <w:rFonts w:ascii="Times New Roman;Times;serif" w:hAnsi="Times New Roman;Times;serif"/>
          <w:color w:val="000000"/>
          <w:sz w:val="20"/>
        </w:rPr>
        <w:t>ii.          </w:t>
      </w:r>
      <w:r>
        <w:rPr>
          <w:rFonts w:ascii="Times New Roman;Times;serif" w:hAnsi="Times New Roman;Times;serif"/>
          <w:color w:val="000000"/>
          <w:sz w:val="20"/>
          <w:u w:val="single"/>
        </w:rPr>
        <w:t>Issuance of Ordinary Share Equivalents</w:t>
      </w:r>
      <w:r>
        <w:rPr>
          <w:rFonts w:ascii="Times New Roman;Times;serif" w:hAnsi="Times New Roman;Times;serif"/>
          <w:color w:val="000000"/>
          <w:sz w:val="20"/>
        </w:rPr>
        <w:t>.  During the Adjustment Period, if the Company in any manner issues or sells (or enters into any agreement to issue or sell) any Ordinary Share Equivalents and the lowest price per share for which one Ordinary Share is at any time issuable upon the conversion, exercise or exchange thereof or otherwise pursuant to the terms thereof is less than the Applicable Price, then such Ordinary Share shall be deemed to be outstanding and to have been issued and sold by the Company at the time of the issuance or sale (or the time of execution of such agreement to issue or sell, as applicable) of such Ordinary Share Equivalents for such price per share.  For the purposes of this Section 4.13(b)(ii), the “lowest price per share for which one Ordinary Share is at any time issuable upon the conversion, exercise or exchange thereof or otherwise pursuant to the terms thereof” shall be equal to (1) the lower of (x) the sum of the lowest amounts of consideration (if any) received or receivable by the Company with respect to one Ordinary Share upon the issuance or sale (or pursuant to the agreement to issue or sell, as applicable) of the Ordinary Share Equivalent and upon conversion, exercise or exchange of such Ordinary Share Equivalent or otherwise pursuant to the terms thereof and (y) the lowest conversion price set forth in such Ordinary Share Equivalent for which one Ordinary Share is issuable (or may become issuable assuming all possible market conditions) upon conversion, exercise or exchange thereof or otherwise pursuant to the terms thereof minus (2) the sum of all amounts paid or payable to the holder of such Ordinary Share Equivalent (or any other Person) upon the issuance or sale (or the agreement to issue or sell, as applicable) of such Ordinary Share Equivalent plus the value of any other consideration received or receivable by, or benefit conferred on, the holder of such Ordinary Share Equivalent (or any other Person).</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34</w:t>
      </w:r>
    </w:p>
    <w:p>
      <w:pPr>
        <w:pStyle w:val="HorizontalLine"/>
        <w:pBdr>
          <w:bottom w:val="single" w:sz="12" w:space="0" w:color="808080"/>
        </w:pBdr>
        <w:bidi w:val="0"/>
        <w:spacing w:before="200" w:after="200"/>
        <w:jc w:val="left"/>
        <w:rPr/>
      </w:pPr>
      <w:r>
        <w:rPr/>
      </w:r>
    </w:p>
    <w:p>
      <w:pPr>
        <w:pStyle w:val="TextBody"/>
        <w:bidi w:val="0"/>
        <w:spacing w:lineRule="auto" w:line="300" w:before="0" w:after="0"/>
        <w:ind w:left="1080" w:right="0" w:firstLine="720"/>
        <w:jc w:val="both"/>
        <w:rPr>
          <w:rFonts w:ascii="Times New Roman;Times;serif" w:hAnsi="Times New Roman;Times;serif"/>
          <w:color w:val="000000"/>
          <w:sz w:val="20"/>
        </w:rPr>
      </w:pPr>
      <w:r>
        <w:rPr>
          <w:rFonts w:ascii="Times New Roman;Times;serif" w:hAnsi="Times New Roman;Times;serif"/>
          <w:color w:val="000000"/>
          <w:sz w:val="20"/>
        </w:rPr>
        <w:t>iii.          </w:t>
      </w:r>
      <w:r>
        <w:rPr>
          <w:rFonts w:ascii="Times New Roman;Times;serif" w:hAnsi="Times New Roman;Times;serif"/>
          <w:color w:val="000000"/>
          <w:sz w:val="20"/>
          <w:u w:val="single"/>
        </w:rPr>
        <w:t>Change in Option Price or Rate of Conversion</w:t>
      </w:r>
      <w:r>
        <w:rPr>
          <w:rFonts w:ascii="Times New Roman;Times;serif" w:hAnsi="Times New Roman;Times;serif"/>
          <w:color w:val="000000"/>
          <w:sz w:val="20"/>
        </w:rPr>
        <w:t>.  During the Adjustment Period, if the purchase or exercise price provided for in any options, the additional consideration, if any, payable upon the issue, conversion, exercise or exchange of any Ordinary Share Equivalents, or the rate at which any Ordinary Share Equivalents are convertible into or exercisable or exchangeable for Ordinary Shares increases or decreases at any time (other than proportional changes in conversion or exercise prices, as applicable, in connection with any share dividend or other distribution payable in Ordinary Shares on Ordinary Shares or any Ordinary Share Equivalents, subdivision of outstanding Ordinary Shares into a larger number of shares, combination (including by way of a reverse share split) of outstanding Ordinary Shares into a smaller number of shares or issuance, in the event of a reclassification of Ordinary Shares, of any shares of the share capital of the Company), the Applicable Price shall be adjusted as set forth in the Section 4.13(b) as if such options or Ordinary Share Equivalents provided for such increased or decreased purchase price, additional consideration or increased or decreased conversion rate, as the case may be, at the time initially granted, issued or sold.  For purposes of this Section 4.13(b)(iii), if the terms of any option or Ordinary Share Equivalent that was outstanding as of the Original Issue Date are increased or decreased in the manner described in the immediately preceding sentence, then such option or Ordinary Share Equivalent and the Ordinary Shares deemed issuable upon exercise, conversion or exchange thereof shall be deemed to have been issued as of the date of such increase or decrease.  No adjustment pursuant to this Section 4.13(b) shall be made if such adjustment would result in an increase of the Applicable Price.</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1080" w:right="0" w:firstLine="720"/>
        <w:jc w:val="both"/>
        <w:rPr>
          <w:rFonts w:ascii="Times New Roman;Times;serif" w:hAnsi="Times New Roman;Times;serif"/>
          <w:color w:val="000000"/>
          <w:sz w:val="20"/>
        </w:rPr>
      </w:pPr>
      <w:r>
        <w:rPr>
          <w:rFonts w:ascii="Times New Roman;Times;serif" w:hAnsi="Times New Roman;Times;serif"/>
          <w:color w:val="000000"/>
          <w:sz w:val="20"/>
        </w:rPr>
        <w:t>iv.          </w:t>
      </w:r>
      <w:r>
        <w:rPr>
          <w:rFonts w:ascii="Times New Roman;Times;serif" w:hAnsi="Times New Roman;Times;serif"/>
          <w:color w:val="000000"/>
          <w:sz w:val="20"/>
          <w:u w:val="single"/>
        </w:rPr>
        <w:t>Calculation of Consideration Received</w:t>
      </w:r>
      <w:r>
        <w:rPr>
          <w:rFonts w:ascii="Times New Roman;Times;serif" w:hAnsi="Times New Roman;Times;serif"/>
          <w:color w:val="000000"/>
          <w:sz w:val="20"/>
        </w:rPr>
        <w:t>. If any option and/or Ordinary Share Equivalents and/or Adjustment Right is issued in connection with the issuance or sale or deemed issuance or sale of any other securities of the Company (as determined by the Purchaser, the “</w:t>
      </w:r>
      <w:r>
        <w:rPr>
          <w:rFonts w:ascii="Times New Roman;Times;serif" w:hAnsi="Times New Roman;Times;serif"/>
          <w:color w:val="000000"/>
          <w:sz w:val="20"/>
          <w:u w:val="single"/>
        </w:rPr>
        <w:t>Primary Security</w:t>
      </w:r>
      <w:r>
        <w:rPr>
          <w:rFonts w:ascii="Times New Roman;Times;serif" w:hAnsi="Times New Roman;Times;serif"/>
          <w:color w:val="000000"/>
          <w:sz w:val="20"/>
        </w:rPr>
        <w:t>”, and such option and/or Ordinary Share Equivalents and/or Adjustment Right, the “</w:t>
      </w:r>
      <w:r>
        <w:rPr>
          <w:rFonts w:ascii="Times New Roman;Times;serif" w:hAnsi="Times New Roman;Times;serif"/>
          <w:color w:val="000000"/>
          <w:sz w:val="20"/>
          <w:u w:val="single"/>
        </w:rPr>
        <w:t>Secondary Securities</w:t>
      </w:r>
      <w:r>
        <w:rPr>
          <w:rFonts w:ascii="Times New Roman;Times;serif" w:hAnsi="Times New Roman;Times;serif"/>
          <w:color w:val="000000"/>
          <w:sz w:val="20"/>
        </w:rPr>
        <w:t>” and together with the Primary Security, each a “</w:t>
      </w:r>
      <w:r>
        <w:rPr>
          <w:rFonts w:ascii="Times New Roman;Times;serif" w:hAnsi="Times New Roman;Times;serif"/>
          <w:color w:val="000000"/>
          <w:sz w:val="20"/>
          <w:u w:val="single"/>
        </w:rPr>
        <w:t>Unit</w:t>
      </w:r>
      <w:r>
        <w:rPr>
          <w:rFonts w:ascii="Times New Roman;Times;serif" w:hAnsi="Times New Roman;Times;serif"/>
          <w:color w:val="000000"/>
          <w:sz w:val="20"/>
        </w:rPr>
        <w:t>”), together comprising one integrated transaction, the aggregate consideration per Ordinary Share with respect to such Primary Security shall be deemed to be the lowest of (x) the purchase price of such Unit, (y) if such Primary Security is an option and/or Ordinary Share Equivalent, the lowest price per share for which one Ordinary Share is at any time issuable upon the exercise or conversion of the Primary Security in accordance with Section 4.13(b)(i) above and (z) the lowest VWAP of the Ordinary Shares on any Trading Day during the five (5) Trading Day period (the “</w:t>
      </w:r>
      <w:r>
        <w:rPr>
          <w:rFonts w:ascii="Times New Roman;Times;serif" w:hAnsi="Times New Roman;Times;serif"/>
          <w:color w:val="000000"/>
          <w:sz w:val="20"/>
          <w:u w:val="single"/>
        </w:rPr>
        <w:t>Measurement Period</w:t>
      </w:r>
      <w:r>
        <w:rPr>
          <w:rFonts w:ascii="Times New Roman;Times;serif" w:hAnsi="Times New Roman;Times;serif"/>
          <w:color w:val="000000"/>
          <w:sz w:val="20"/>
        </w:rPr>
        <w:t>”) immediately following the public announcement of such Dilutive Issuance (for the avoidance of doubt, if such public announcement is released prior to the opening of the applicable Trading Market on a Trading Day, such Trading Day shall be the first Trading Day in such five Trading Day period and if the Note is converted, or Warrant is exercised, as the case may be, on any given Conversion Date  or Exercise Date, as the case may be, during any such Measurement Period, solely with respect to such portion of this Note converted on such applicable Conversion Date, or Exercise Date, as the case may be, such applicable Measurement Period shall be deemed to have ended on, and included, the Trading Day immediately prior to such Conversion Date, or Exercise Date, as the case may be). If any Ordinary Shares, options or Ordinary Share Equivalents are issued or sold or deemed to have been issued or sold for cash, the consideration received therefor will be deemed to be the net amount of consideration received by the Company therefor. If any Ordinary Shares, options or Ordinary Share Equivalents are issued or sold for a consideration other than cash, the amount of such consideration received by the Company will be the fair value of such consideration, except where such consideration consists of publicly traded securities, in which case the amount of consideration received by the Company for such securities will be the arithmetic average of the VWAPs of such security for each of the five (5) Trading Days immediately preceding the date of receipt. If any Ordinary Shares, options or Ordinary Share Equivalents are issued to the owners of the non-surviving entity in connection with any merger in which the Company is the surviving entity, the amount of consideration therefor will be deemed to be the fair value of such portion of the net assets and business of the non-surviving entity as is attributable to such Ordinary Shares, options or Ordinary Share Equivalents (as the case may be). The fair value of any consideration other than cash or publicly traded securities will be determined jointly by the Company and the Purchaser. If such parties are unable to reach agreement within ten (10) days after the occurrence of an event requiring valuation (the “</w:t>
      </w:r>
      <w:r>
        <w:rPr>
          <w:rFonts w:ascii="Times New Roman;Times;serif" w:hAnsi="Times New Roman;Times;serif"/>
          <w:color w:val="000000"/>
          <w:sz w:val="20"/>
          <w:u w:val="single"/>
        </w:rPr>
        <w:t>Valuation Event</w:t>
      </w:r>
      <w:r>
        <w:rPr>
          <w:rFonts w:ascii="Times New Roman;Times;serif" w:hAnsi="Times New Roman;Times;serif"/>
          <w:color w:val="000000"/>
          <w:sz w:val="20"/>
        </w:rPr>
        <w:t>”), the fair value of such consideration will be determined within five (5) Trading Days after the tenth (10th) day following such Valuation Event by an independent, reputable appraiser jointly selected by the Company and the Purchaser. The determination of such appraiser shall be final and binding upon all parties absent manifest error and the fees and expenses of such appraiser shall be borne by the Company. For purposes of hereof, “</w:t>
      </w:r>
      <w:r>
        <w:rPr>
          <w:rFonts w:ascii="Times New Roman;Times;serif" w:hAnsi="Times New Roman;Times;serif"/>
          <w:color w:val="000000"/>
          <w:sz w:val="20"/>
          <w:u w:val="single"/>
        </w:rPr>
        <w:t>Adjustment Right</w:t>
      </w:r>
      <w:r>
        <w:rPr>
          <w:rFonts w:ascii="Times New Roman;Times;serif" w:hAnsi="Times New Roman;Times;serif"/>
          <w:color w:val="000000"/>
          <w:sz w:val="20"/>
        </w:rPr>
        <w:t>” means any right granted with respect to any securities issued in connection with, or with respect to, any issuance or sale (or deemed issuance or sale in accordance with this Section 4.13(b) of Ordinary Shares that could result in a decrease in the net consideration received by the Company in connection with, or with respect to, such securities (including, without limitation, any cash settlement rights, cash adjustment or other similar rights).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1080" w:right="0" w:firstLine="720"/>
        <w:jc w:val="both"/>
        <w:rPr>
          <w:rFonts w:ascii="Times New Roman;Times;serif" w:hAnsi="Times New Roman;Times;serif"/>
          <w:color w:val="000000"/>
          <w:sz w:val="20"/>
        </w:rPr>
      </w:pPr>
      <w:r>
        <w:rPr>
          <w:rFonts w:ascii="Times New Roman;Times;serif" w:hAnsi="Times New Roman;Times;serif"/>
          <w:color w:val="000000"/>
          <w:sz w:val="20"/>
        </w:rPr>
        <w:t>v.          </w:t>
      </w:r>
      <w:r>
        <w:rPr>
          <w:rFonts w:ascii="Times New Roman;Times;serif" w:hAnsi="Times New Roman;Times;serif"/>
          <w:color w:val="000000"/>
          <w:sz w:val="20"/>
          <w:u w:val="single"/>
        </w:rPr>
        <w:t>Record Date</w:t>
      </w:r>
      <w:r>
        <w:rPr>
          <w:rFonts w:ascii="Times New Roman;Times;serif" w:hAnsi="Times New Roman;Times;serif"/>
          <w:color w:val="000000"/>
          <w:sz w:val="20"/>
        </w:rPr>
        <w:t>.  If the Company takes a record of the holders of Ordinary Shares for the purpose of entitling them (A) to receive a dividend or other distribution payable in Ordinary Shares, options or in Ordinary Share Equivalents or (B) to subscribe for or purchase Ordinary Shares, options or Ordinary Share Equivalents, then such record date will be deemed to be the date of the issuance or sale of the Ordinary Shares deemed to have been issued or sold upon the declaration of such dividend or the making of such other distribution or the date of the granting of such right of subscription or purchase (as the case may be).</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35</w:t>
      </w:r>
    </w:p>
    <w:p>
      <w:pPr>
        <w:pStyle w:val="HorizontalLine"/>
        <w:pBdr>
          <w:bottom w:val="single" w:sz="12" w:space="0" w:color="808080"/>
        </w:pBdr>
        <w:bidi w:val="0"/>
        <w:spacing w:before="200" w:after="200"/>
        <w:jc w:val="left"/>
        <w:rPr/>
      </w:pPr>
      <w:r>
        <w:rPr/>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4.14          </w:t>
      </w:r>
      <w:r>
        <w:rPr>
          <w:rFonts w:ascii="Times New Roman;Times;serif" w:hAnsi="Times New Roman;Times;serif"/>
          <w:color w:val="000000"/>
          <w:sz w:val="20"/>
          <w:u w:val="single"/>
        </w:rPr>
        <w:t>Equal Treatment of Purchasers</w:t>
      </w:r>
      <w:r>
        <w:rPr>
          <w:rFonts w:ascii="Times New Roman;Times;serif" w:hAnsi="Times New Roman;Times;serif"/>
          <w:color w:val="000000"/>
          <w:sz w:val="20"/>
        </w:rPr>
        <w:t>. No consideration (including any modification of any Transaction Document) shall be offered or paid to any Person to amend or consent to a waiver or modification of any provision of the Transaction Documents unless the same consideration is also offered to all of the parties to such Transaction Documents. Further, the Company shall not make any payment of principal or interest on the Notes in amounts which are disproportionate to the respective principal amounts outstanding on the Notes at any applicable time. For clarification purposes, this provision constitutes a separate right granted to each Purchaser by the Company and negotiated separately by each Purchaser, and is intended for the Company to treat the Purchasers as a class and shall not in any way be construed as the Purchasers acting in concert or as a group with respect to the purchase, disposition or voting of Securities or otherwise.</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4.15          </w:t>
      </w:r>
      <w:r>
        <w:rPr>
          <w:rFonts w:ascii="Times New Roman;Times;serif" w:hAnsi="Times New Roman;Times;serif"/>
          <w:color w:val="000000"/>
          <w:sz w:val="20"/>
          <w:u w:val="single"/>
        </w:rPr>
        <w:t>Certain Transactions and Confidentiality</w:t>
      </w:r>
      <w:r>
        <w:rPr>
          <w:rFonts w:ascii="Times New Roman;Times;serif" w:hAnsi="Times New Roman;Times;serif"/>
          <w:color w:val="000000"/>
          <w:sz w:val="20"/>
        </w:rPr>
        <w:t>.  Each Purchaser, severally and not jointly with the other Purchasers, covenants that until such time as the transactions contemplated by this Agreement are publicly disclosed by the Company pursuant to the initial press release as described in Section 4.6, such Purchaser will maintain the confidentiality of the existence and terms of this transaction and the information included in the Disclosure Schedules (other than as disclosed to its legal and other representatives). Notwithstanding the foregoing, and notwithstanding anything contained in this Agreement to the contrary, the Company expressly acknowledges and agrees that (i) no Purchaser makes any representation, warranty or covenant hereby that it will not engage in effecting transactions in any securities of the Company after the time that the transactions contemplated by this Agreement are first publicly announced pursuant to the initial press release as described in Section 4.6, (ii) no Purchaser shall be restricted or prohibited from effecting any transactions in any securities of the Company in accordance with applicable securities laws from and after the time that the transactions contemplated by this Agreement are first publicly announced pursuant to the initial press release as described in Section 4.6 and (iii) no Purchaser shall have any duty of confidentiality or duty not to trade in the securities of the Company to the Company, any of its Subsidiaries, or any of their respective officers, directors, employees, Affiliates or agent after the issuance of the initial press release as described in Section 4.6.  Notwithstanding the foregoing, in the case of a Purchaser that is a multi-managed investment vehicle whereby separate portfolio managers manage separate portions of such Purchaser’s assets and the portfolio managers have no direct knowledge of the investment decisions made by the portfolio managers managing other portions of such Purchaser’s assets, the covenant set forth above shall only apply with respect to the portion of assets managed by the portfolio manager that made the investment decision to purchase the Securities covered by this Agreement.</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4.16          </w:t>
      </w:r>
      <w:r>
        <w:rPr>
          <w:rFonts w:ascii="Times New Roman;Times;serif" w:hAnsi="Times New Roman;Times;serif"/>
          <w:color w:val="000000"/>
          <w:sz w:val="20"/>
          <w:u w:val="single"/>
        </w:rPr>
        <w:t>Exclusivity</w:t>
      </w:r>
      <w:r>
        <w:rPr>
          <w:rFonts w:ascii="Times New Roman;Times;serif" w:hAnsi="Times New Roman;Times;serif"/>
          <w:color w:val="000000"/>
          <w:sz w:val="20"/>
        </w:rPr>
        <w:t>. Prior to the Initial Closing, the Company agrees not to, and shall cause its Subsidiaries not to, directly or indirectly, solicit, initiate, continue, or engage in any discussions or negotiations with, or enter into any agreement with, or encourage or respond to any inquiries or proposals by, or participate in any negotiations with, or provide any information to, or commence due diligence with respect to, or otherwise cooperate in any way, the issuance of any indebtedness of the Company or other convertible securities of the Company.</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4.17          </w:t>
      </w:r>
      <w:r>
        <w:rPr>
          <w:rFonts w:ascii="Times New Roman;Times;serif" w:hAnsi="Times New Roman;Times;serif"/>
          <w:color w:val="000000"/>
          <w:sz w:val="20"/>
          <w:u w:val="single"/>
        </w:rPr>
        <w:t>Form D; Blue Sky Filings</w:t>
      </w:r>
      <w:r>
        <w:rPr>
          <w:rFonts w:ascii="Times New Roman;Times;serif" w:hAnsi="Times New Roman;Times;serif"/>
          <w:color w:val="000000"/>
          <w:sz w:val="20"/>
        </w:rPr>
        <w:t>. The Company agrees to timely file a Form D with respect to the Securities as required under Regulation D and to provide a copy thereof, promptly upon request of any Purchaser. The Company shall take such action as the Company shall reasonably determine is necessary in order to obtain an exemption for, or to qualify the Securities for, sale to the Purchasers at the Closing under applicable securities or “Blue Sky” laws of the states of the United States, and shall provide evidence of such actions promptly upon request of any Purchaser.</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4.18          </w:t>
      </w:r>
      <w:r>
        <w:rPr>
          <w:rFonts w:ascii="Times New Roman;Times;serif" w:hAnsi="Times New Roman;Times;serif"/>
          <w:color w:val="000000"/>
          <w:sz w:val="20"/>
          <w:u w:val="single"/>
        </w:rPr>
        <w:t>Registration Statement</w:t>
      </w:r>
      <w:r>
        <w:rPr>
          <w:rFonts w:ascii="Times New Roman;Times;serif" w:hAnsi="Times New Roman;Times;serif"/>
          <w:color w:val="000000"/>
          <w:sz w:val="20"/>
        </w:rPr>
        <w:t>. As soon as practicable (and in any event within thirty (30) calendar days of the date of the Closing Date), the Company shall file a registration statement on Form S-3 (or other appropriate form if the Company is not then S-3 eligible) providing for the resale by the Purchasers of the Underlying Shares issued and issuable upon exercise of the Warrants or conversion of the Notes, as applicable. The Company shall use commercially reasonable efforts to cause such registration statement to become effective within forty-five (45) days following the Closing Date (or in the event of a full review by the Commission, seventy-five (75) days following the Closing Date) and to keep such registration statement effective at all times until no Purchaser owns any Securities.</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36</w:t>
      </w:r>
    </w:p>
    <w:p>
      <w:pPr>
        <w:pStyle w:val="HorizontalLine"/>
        <w:pBdr>
          <w:bottom w:val="single" w:sz="12" w:space="0" w:color="808080"/>
        </w:pBdr>
        <w:bidi w:val="0"/>
        <w:spacing w:before="200" w:after="200"/>
        <w:jc w:val="left"/>
        <w:rPr/>
      </w:pPr>
      <w:r>
        <w:rPr/>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ARTICLE V.</w:t>
        <w:br/>
        <w:t>MISCELLANEOUS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5.1          </w:t>
      </w:r>
      <w:r>
        <w:rPr>
          <w:rFonts w:ascii="Times New Roman;Times;serif" w:hAnsi="Times New Roman;Times;serif"/>
          <w:color w:val="000000"/>
          <w:sz w:val="20"/>
          <w:u w:val="single"/>
        </w:rPr>
        <w:t>Termination</w:t>
      </w:r>
      <w:r>
        <w:rPr>
          <w:rFonts w:ascii="Times New Roman;Times;serif" w:hAnsi="Times New Roman;Times;serif"/>
          <w:color w:val="000000"/>
          <w:sz w:val="20"/>
        </w:rPr>
        <w:t xml:space="preserve">. This Agreement may be terminated by any Purchaser, as to such Purchaser’s obligations hereunder only and without any effect whatsoever on the obligations between the Company and the other Purchasers, by written notice to the other parties, if the Initial Closing has not been consummated on or before the fifth (5th) Trading Day following the date hereof;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however</w:t>
      </w:r>
      <w:r>
        <w:rPr>
          <w:rFonts w:ascii="Times New Roman;Times;serif" w:hAnsi="Times New Roman;Times;serif"/>
          <w:color w:val="000000"/>
          <w:sz w:val="20"/>
        </w:rPr>
        <w:t>, that no such termination will affect the right of any party to sue for any breach by any other party (or parties).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5.2          </w:t>
      </w:r>
      <w:r>
        <w:rPr>
          <w:rFonts w:ascii="Times New Roman;Times;serif" w:hAnsi="Times New Roman;Times;serif"/>
          <w:color w:val="000000"/>
          <w:sz w:val="20"/>
          <w:u w:val="single"/>
        </w:rPr>
        <w:t>Fees and Expenses</w:t>
      </w:r>
      <w:r>
        <w:rPr>
          <w:rFonts w:ascii="Times New Roman;Times;serif" w:hAnsi="Times New Roman;Times;serif"/>
          <w:color w:val="000000"/>
          <w:sz w:val="20"/>
        </w:rPr>
        <w:t>. The Company has agreed to reimburse the Investors for its reasonable and documented out-of-pocket legal fees and expenses incurred in connection with the Transaction Documents . Except as expressly set forth in the Transaction Documents to the contrary, each party shall pay the fees and expenses of its advisers, counsel, accountants and other experts, if any, and all other expenses incurred by such party incident to the negotiation, preparation, execution, delivery and performance of this Agreement. The Company shall pay all Transfer Agent fees (including, without limitation, any fees required for same-day processing of any instruction letter delivered by the Company and any conversion or exercise notice delivered by a Purchaser), stamp taxes and other taxes and duties levied in connection with the delivery of any Securities to the Purchasers.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5.3          </w:t>
      </w:r>
      <w:r>
        <w:rPr>
          <w:rFonts w:ascii="Times New Roman;Times;serif" w:hAnsi="Times New Roman;Times;serif"/>
          <w:color w:val="000000"/>
          <w:sz w:val="20"/>
          <w:u w:val="single"/>
        </w:rPr>
        <w:t>Entire Agreement</w:t>
      </w:r>
      <w:r>
        <w:rPr>
          <w:rFonts w:ascii="Times New Roman;Times;serif" w:hAnsi="Times New Roman;Times;serif"/>
          <w:color w:val="000000"/>
          <w:sz w:val="20"/>
        </w:rPr>
        <w:t>. The Transaction Documents, together with the exhibits and schedules thereto, contain the entire understanding of the parties with respect to the subject matter hereof and thereof and supersede all prior agreements and understandings, oral or written, with respect to such matters, which the parties acknowledge have been merged into such documents, exhibits and schedules.</w:t>
      </w:r>
    </w:p>
    <w:p>
      <w:pPr>
        <w:pStyle w:val="TextBody"/>
        <w:bidi w:val="0"/>
        <w:spacing w:lineRule="auto" w:line="300" w:before="0" w:after="0"/>
        <w:jc w:val="left"/>
        <w:rPr>
          <w:color w:val="000000"/>
        </w:rPr>
      </w:pPr>
      <w:r>
        <w:rPr>
          <w:color w:val="000000"/>
        </w:rPr>
        <w:t> </w:t>
      </w:r>
    </w:p>
    <w:p>
      <w:pPr>
        <w:pStyle w:val="TextBody"/>
        <w:bidi w:val="0"/>
        <w:spacing w:lineRule="auto" w:line="24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5.4          </w:t>
      </w:r>
      <w:r>
        <w:rPr>
          <w:rFonts w:ascii="Times New Roman;Times;serif" w:hAnsi="Times New Roman;Times;serif"/>
          <w:color w:val="000000"/>
          <w:sz w:val="20"/>
          <w:u w:val="single"/>
        </w:rPr>
        <w:t>Notices</w:t>
      </w:r>
      <w:r>
        <w:rPr>
          <w:rFonts w:ascii="Times New Roman;Times;serif" w:hAnsi="Times New Roman;Times;serif"/>
          <w:color w:val="000000"/>
          <w:sz w:val="20"/>
        </w:rPr>
        <w:t>. Any and all notices or other communications or deliveries required or permitted to be provided hereunder shall be in writing and shall be deemed given and effective on the earliest of: (a) the time of transmission, if such notice or communication is delivered via email attachment at the email address as set forth on the signature pages attached hereto at or prior to 5:30 p.m. (New York City time) on a Trading Day, (b) the next Trading Day after the time of transmission, if such notice or communication is delivered via email attachment at the email address as set forth on the signature pages attached hereto on a day that is not a Trading Day or later than 5:30 p.m. (New York City time) on any Trading Day, (c) the second (2nd) Trading Day following the date of mailing, if sent by U.S. nationally recognized overnight courier service or (d) upon actual receipt by the party to whom such notice is required to be given. The address for such notices and communications shall be as set forth on the signature pages attached hereto.</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37</w:t>
      </w:r>
    </w:p>
    <w:p>
      <w:pPr>
        <w:pStyle w:val="HorizontalLine"/>
        <w:pBdr>
          <w:bottom w:val="single" w:sz="12" w:space="0" w:color="808080"/>
        </w:pBdr>
        <w:bidi w:val="0"/>
        <w:spacing w:before="200" w:after="200"/>
        <w:jc w:val="left"/>
        <w:rPr/>
      </w:pPr>
      <w:r>
        <w:rPr/>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5.5          </w:t>
      </w:r>
      <w:r>
        <w:rPr>
          <w:rFonts w:ascii="Times New Roman;Times;serif" w:hAnsi="Times New Roman;Times;serif"/>
          <w:color w:val="000000"/>
          <w:sz w:val="20"/>
          <w:u w:val="single"/>
        </w:rPr>
        <w:t>Amendments; Waivers</w:t>
      </w:r>
      <w:r>
        <w:rPr>
          <w:rFonts w:ascii="Times New Roman;Times;serif" w:hAnsi="Times New Roman;Times;serif"/>
          <w:color w:val="000000"/>
          <w:sz w:val="20"/>
        </w:rPr>
        <w:t>. Any provision of this Agreement may be waived by the Company and the Purchasers which purchased at least 50.1% in interest of the Notes based on the Subscription Amounts (“</w:t>
      </w:r>
      <w:r>
        <w:rPr>
          <w:rFonts w:ascii="Times New Roman;Times;serif" w:hAnsi="Times New Roman;Times;serif"/>
          <w:color w:val="000000"/>
          <w:sz w:val="20"/>
          <w:u w:val="single"/>
        </w:rPr>
        <w:t>Majority Purchasers</w:t>
      </w:r>
      <w:r>
        <w:rPr>
          <w:rFonts w:ascii="Times New Roman;Times;serif" w:hAnsi="Times New Roman;Times;serif"/>
          <w:color w:val="000000"/>
          <w:sz w:val="20"/>
        </w:rPr>
        <w:t>”), which waiver shall be binding on all of the Purchasers and their successors and assigns. Any provision of this Agreement may be amended by the Company and the Majority Purchasers and must be in writing, which amendment shall be binding on all of the Purchasers and their successors and assigns. No waiver of any default with respect to any provision, condition or requirement of this Agreement shall be deemed to be a continuing waiver in the future or a waiver of any subsequent default or a waiver of any other provision, condition or requirement hereof, nor shall any delay or omission of any party to exercise any right hereunder in any manner impair the exercise of any such right. Any proposed amendment or waiver that disproportionately, materially and adversely affects the rights and obligations of any Purchaser relative to the comparable rights and obligations of the other Purchasers shall require the prior written consent of such adversely affected Purchaser. Any amendment effected in accordance with this Section 5.5 shall be binding upon each Purchaser and holder of Securities and the Company.</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5.6          </w:t>
      </w:r>
      <w:r>
        <w:rPr>
          <w:rFonts w:ascii="Times New Roman;Times;serif" w:hAnsi="Times New Roman;Times;serif"/>
          <w:color w:val="000000"/>
          <w:sz w:val="20"/>
          <w:u w:val="single"/>
        </w:rPr>
        <w:t>Headings</w:t>
      </w:r>
      <w:r>
        <w:rPr>
          <w:rFonts w:ascii="Times New Roman;Times;serif" w:hAnsi="Times New Roman;Times;serif"/>
          <w:color w:val="000000"/>
          <w:sz w:val="20"/>
        </w:rPr>
        <w:t>. The headings herein are for convenience only, do not constitute a part of this Agreement and shall not be deemed to limit or affect any of the provisions hereof.</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5.7          [</w:t>
      </w:r>
      <w:r>
        <w:rPr>
          <w:rFonts w:ascii="Times New Roman;Times;serif" w:hAnsi="Times New Roman;Times;serif"/>
          <w:i/>
          <w:color w:val="000000"/>
          <w:sz w:val="20"/>
          <w:u w:val="single"/>
        </w:rPr>
        <w:t>Reserved</w:t>
      </w:r>
      <w:r>
        <w:rPr>
          <w:rFonts w:ascii="Times New Roman;Times;serif" w:hAnsi="Times New Roman;Times;serif"/>
          <w:color w:val="000000"/>
          <w:sz w:val="20"/>
        </w:rPr>
        <w:t>.]</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5.8          </w:t>
      </w:r>
      <w:r>
        <w:rPr>
          <w:rFonts w:ascii="Times New Roman;Times;serif" w:hAnsi="Times New Roman;Times;serif"/>
          <w:color w:val="000000"/>
          <w:sz w:val="20"/>
          <w:u w:val="single"/>
        </w:rPr>
        <w:t>Successors and Assigns</w:t>
      </w:r>
      <w:r>
        <w:rPr>
          <w:rFonts w:ascii="Times New Roman;Times;serif" w:hAnsi="Times New Roman;Times;serif"/>
          <w:color w:val="000000"/>
          <w:sz w:val="20"/>
        </w:rPr>
        <w:t>. This Agreement shall be binding upon and inure to the benefit of the parties and their successors and permitted assigns. The Company may not assign this Agreement or any rights or obligations hereunder without the prior written consent of each Purchaser (other than by merger). Any Purchaser may assign any or all of its rights under this Agreement to any Person to whom such Purchaser assigns or transfers any Securities, provided that such transferee agrees in writing to be bound, with respect to the transferred Securities by the provisions of the Transaction Documents that apply to the “Purchasers.”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5.9          </w:t>
      </w:r>
      <w:r>
        <w:rPr>
          <w:rFonts w:ascii="Times New Roman;Times;serif" w:hAnsi="Times New Roman;Times;serif"/>
          <w:color w:val="000000"/>
          <w:sz w:val="20"/>
          <w:u w:val="single"/>
        </w:rPr>
        <w:t>No Third-Party Beneficiaries</w:t>
      </w:r>
      <w:r>
        <w:rPr>
          <w:rFonts w:ascii="Times New Roman;Times;serif" w:hAnsi="Times New Roman;Times;serif"/>
          <w:color w:val="000000"/>
          <w:sz w:val="20"/>
        </w:rPr>
        <w:t>. This Agreement is intended for the benefit of the parties hereto and their respective successors and permitted assigns and is not for the benefit of, nor may any provision hereof be enforced by, any other Person, except as otherwise set forth in Section 4.10.</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5.10          </w:t>
      </w:r>
      <w:r>
        <w:rPr>
          <w:rFonts w:ascii="Times New Roman;Times;serif" w:hAnsi="Times New Roman;Times;serif"/>
          <w:color w:val="000000"/>
          <w:sz w:val="20"/>
          <w:u w:val="single"/>
        </w:rPr>
        <w:t>Governing Law</w:t>
      </w:r>
      <w:r>
        <w:rPr>
          <w:rFonts w:ascii="Times New Roman;Times;serif" w:hAnsi="Times New Roman;Times;serif"/>
          <w:color w:val="000000"/>
          <w:sz w:val="20"/>
        </w:rPr>
        <w:t>. All questions concerning the construction, validity, enforcement and interpretation of the Transaction Documents shall be governed by and construed and enforced in accordance with the internal laws of the State of New York, without regard to the principles of conflicts of law thereof (other than Title 14 of Article 5 of the New York General Obligations Law). Each party agrees that all legal Proceedings concerning the interpretations, enforcement and defense of the transactions contemplated by this Agreement and any other Transaction Documents (whether brought against a party hereto or its respective affiliates, directors, officers, shareholders, partners, members, employees or agents) shall be commenced exclusively in the state and federal courts sitting in the City of New York. Each party hereby irrevocably submits to the exclusive jurisdiction of the state and federal courts sitting in the State, City, and County of New York for the adjudication of any dispute hereunder or in connection herewith or with any transaction contemplated hereby or discussed herein (including with respect to the enforcement of any of the Transaction Documents), and hereby irrevocably waives, and agrees not to assert in any Action or Proceeding, any claim that it is not personally subject to the jurisdiction of any such court, that such Action or Proceeding is improper or is an inconvenient venue for such Proceeding. Each party hereby irrevocably waives personal service of process and consents to process being served in any such Action or Proceeding by mailing a copy thereof via registered or certified mail or overnight delivery (with evidence of delivery) to such party at the address in effect for notices to it under this Agreement and agrees that such service shall constitute good and sufficient service of process and notice thereof. Nothing contained herein shall be deemed to limit in any way any right to serve process in any other manner permitted by law. If any party shall commence an Action or Proceeding to enforce any provisions of the Transaction Documents, then, in addition to the obligations of the Company under Section 4.10, the prevailing party in such Action or Proceeding shall be reimbursed by the non-prevailing party for its reasonable attorneys’ fees and other costs and expenses incurred with the investigation, preparation and prosecution of such Action or Proceeding.</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38</w:t>
      </w:r>
    </w:p>
    <w:p>
      <w:pPr>
        <w:pStyle w:val="HorizontalLine"/>
        <w:pBdr>
          <w:bottom w:val="single" w:sz="12" w:space="0" w:color="808080"/>
        </w:pBdr>
        <w:bidi w:val="0"/>
        <w:spacing w:before="200" w:after="200"/>
        <w:jc w:val="left"/>
        <w:rPr/>
      </w:pPr>
      <w:r>
        <w:rPr/>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5.11          </w:t>
      </w:r>
      <w:r>
        <w:rPr>
          <w:rFonts w:ascii="Times New Roman;Times;serif" w:hAnsi="Times New Roman;Times;serif"/>
          <w:color w:val="000000"/>
          <w:sz w:val="20"/>
          <w:u w:val="single"/>
        </w:rPr>
        <w:t>Survival</w:t>
      </w:r>
      <w:r>
        <w:rPr>
          <w:rFonts w:ascii="Times New Roman;Times;serif" w:hAnsi="Times New Roman;Times;serif"/>
          <w:color w:val="000000"/>
          <w:sz w:val="20"/>
        </w:rPr>
        <w:t>. The representations and warranties contained herein shall survive each Closing and the delivery of the Securities.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5.12          </w:t>
      </w:r>
      <w:r>
        <w:rPr>
          <w:rFonts w:ascii="Times New Roman;Times;serif" w:hAnsi="Times New Roman;Times;serif"/>
          <w:color w:val="000000"/>
          <w:sz w:val="20"/>
          <w:u w:val="single"/>
        </w:rPr>
        <w:t>Execution</w:t>
      </w:r>
      <w:r>
        <w:rPr>
          <w:rFonts w:ascii="Times New Roman;Times;serif" w:hAnsi="Times New Roman;Times;serif"/>
          <w:color w:val="000000"/>
          <w:sz w:val="20"/>
        </w:rPr>
        <w:t>. This Agreement may be executed in two or more counterparts, all of which when taken together shall be considered one and the same agreement and shall become effective when counterparts have been signed by each party and delivered to each other party, it being understood that the parties need not sign the same counterpart. In the event that any signature is delivered by e-mail delivery (including any electronic signature covered by the U.S. federal ESIGN Act of 2000, Uniform Electronic Transactions Act, the Electronic Signatures and Records Act or other applicable law, e.g., www.docusign.com) or other transmission method, such signature shall be deemed to have been duly and validly delivered and shall create a valid and binding obligation of the party executing (or on whose behalf such signature is executed) with the same force and effect as if such “.pdf” signature page were an original thereof.</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5.13          </w:t>
      </w:r>
      <w:r>
        <w:rPr>
          <w:rFonts w:ascii="Times New Roman;Times;serif" w:hAnsi="Times New Roman;Times;serif"/>
          <w:color w:val="000000"/>
          <w:sz w:val="20"/>
          <w:u w:val="single"/>
        </w:rPr>
        <w:t>Severability</w:t>
      </w:r>
      <w:r>
        <w:rPr>
          <w:rFonts w:ascii="Times New Roman;Times;serif" w:hAnsi="Times New Roman;Times;serif"/>
          <w:color w:val="000000"/>
          <w:sz w:val="20"/>
        </w:rPr>
        <w:t>. If any term, provision, covenant or restriction of this Agreement is held by a court of competent jurisdiction to be invalid, illegal, void or unenforceable, the remainder of the terms, provisions, covenants and restrictions set forth herein shall remain in full force and effect and shall in no way be affected, impaired or invalidated, and the parties hereto shall use their commercially reasonable efforts to find and employ an alternative means to achieve the same or substantially the same result as that contemplated by such term, provision, covenant or restriction. It is hereby stipulated and declared to be the intention of the parties that they would have executed the remaining terms, provisions, covenants and restrictions without including any of such that may be hereafter declared invalid, illegal, void or unenforceable.</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5.14          </w:t>
      </w:r>
      <w:r>
        <w:rPr>
          <w:rFonts w:ascii="Times New Roman;Times;serif" w:hAnsi="Times New Roman;Times;serif"/>
          <w:color w:val="000000"/>
          <w:sz w:val="20"/>
          <w:u w:val="single"/>
        </w:rPr>
        <w:t>Rescission and Withdrawal Right</w:t>
      </w:r>
      <w:r>
        <w:rPr>
          <w:rFonts w:ascii="Times New Roman;Times;serif" w:hAnsi="Times New Roman;Times;serif"/>
          <w:color w:val="000000"/>
          <w:sz w:val="20"/>
        </w:rPr>
        <w:t xml:space="preserve">. Notwithstanding anything to the contrary contained in (and without limiting any similar provisions of) any of the other Transaction Documents, whenever any Purchaser exercises a right, election, demand or option under a Transaction Document and the Company does not timely perform its related obligations within the periods therein provided, then such Purchaser may rescind or withdraw, in its sole discretion from time to time upon written notice to the Company, any relevant notice, demand or election in whole or in part without prejudice to its future actions and rights;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however</w:t>
      </w:r>
      <w:r>
        <w:rPr>
          <w:rFonts w:ascii="Times New Roman;Times;serif" w:hAnsi="Times New Roman;Times;serif"/>
          <w:color w:val="000000"/>
          <w:sz w:val="20"/>
        </w:rPr>
        <w:t>, that in the case of a rescission of a conversion of a Note or an exercise of a Warrant, the applicable Purchaser shall be required to return any Ordinary Shares subject to any such rescinded conversion or exercise notice, as applicable, concurrently with the return to such Purchaser of the aggregate conversion or exercise price, as applicable, paid to the Company for such shares and the restoration of such Purchaser’s right to acquire such shares pursuant to such Purchaser’s Note or Warrant, as applicable (including, issuance of a replacement note or warrant certificate, as applicable, evidencing such restored right).</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39</w:t>
      </w:r>
    </w:p>
    <w:p>
      <w:pPr>
        <w:pStyle w:val="HorizontalLine"/>
        <w:pBdr>
          <w:bottom w:val="single" w:sz="12" w:space="0" w:color="808080"/>
        </w:pBdr>
        <w:bidi w:val="0"/>
        <w:spacing w:before="200" w:after="200"/>
        <w:jc w:val="left"/>
        <w:rPr/>
      </w:pPr>
      <w:r>
        <w:rPr/>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5.15          </w:t>
      </w:r>
      <w:r>
        <w:rPr>
          <w:rFonts w:ascii="Times New Roman;Times;serif" w:hAnsi="Times New Roman;Times;serif"/>
          <w:color w:val="000000"/>
          <w:sz w:val="20"/>
          <w:u w:val="single"/>
        </w:rPr>
        <w:t>Replacement of Securities</w:t>
      </w:r>
      <w:r>
        <w:rPr>
          <w:rFonts w:ascii="Times New Roman;Times;serif" w:hAnsi="Times New Roman;Times;serif"/>
          <w:color w:val="000000"/>
          <w:sz w:val="20"/>
        </w:rPr>
        <w:t>. If any certificate or instrument evidencing any Securities is mutilated, lost, stolen or destroyed, the Company shall issue or cause to be issued in exchange and substitution for and upon cancellation thereof (in the case of mutilation), or in lieu of and substitution therefor, a new certificate or instrument, but only upon receipt of evidence reasonably satisfactory to the Company of such loss, theft or destruction. The applicant for a new certificate or instrument under such circumstances shall also pay any reasonable third-party costs (including customary indemnity against any claim that may be made against the Company with respect to the certificate alleged to have been mutilated, lost, stolen, or destroyed) associated with the issuance of such replacement Securities.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5.16          </w:t>
      </w:r>
      <w:r>
        <w:rPr>
          <w:rFonts w:ascii="Times New Roman;Times;serif" w:hAnsi="Times New Roman;Times;serif"/>
          <w:color w:val="000000"/>
          <w:sz w:val="20"/>
          <w:u w:val="single"/>
        </w:rPr>
        <w:t>Remedies</w:t>
      </w:r>
      <w:r>
        <w:rPr>
          <w:rFonts w:ascii="Times New Roman;Times;serif" w:hAnsi="Times New Roman;Times;serif"/>
          <w:color w:val="000000"/>
          <w:sz w:val="20"/>
        </w:rPr>
        <w:t>. In addition to being entitled to exercise all rights provided herein or granted by law, including recovery of damages, each of the Purchasers and the Company will be entitled to specific performance under the Transaction Documents. The parties agree that monetary damages may not be adequate compensation for any loss incurred by reason of any breach of obligations contained in the Transaction Documents and hereby agree to waive and not to assert in any Action for specific performance of any such obligation the defense that a remedy at law would be adequate.</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5.17          </w:t>
      </w:r>
      <w:r>
        <w:rPr>
          <w:rFonts w:ascii="Times New Roman;Times;serif" w:hAnsi="Times New Roman;Times;serif"/>
          <w:color w:val="000000"/>
          <w:sz w:val="20"/>
          <w:u w:val="single"/>
        </w:rPr>
        <w:t>Payment Set Aside</w:t>
      </w:r>
      <w:r>
        <w:rPr>
          <w:rFonts w:ascii="Times New Roman;Times;serif" w:hAnsi="Times New Roman;Times;serif"/>
          <w:color w:val="000000"/>
          <w:sz w:val="20"/>
        </w:rPr>
        <w:t>. To the extent that the Company makes a payment or payments to any Purchaser pursuant to any Transaction Document or a Purchaser enforces or exercises its rights thereunder, and such payment or payments or the proceeds of such enforcement or exercise or any part thereof are subsequently invalidated, declared to be fraudulent or preferential, set aside, recovered from, disgorged by or are required to be refunded, repaid or otherwise restored to the Company, a trustee, receiver or any other Person under any law (including, without limitation, any bankruptcy law, state or federal law, common law or equitable cause of action), then to the extent of any such restoration the obligation or part thereof originally intended to be satisfied shall be revived and continued in full force and effect as if such payment had not been made or such enforcement or setoff had not occurred.</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5.18          </w:t>
      </w:r>
      <w:r>
        <w:rPr>
          <w:rFonts w:ascii="Times New Roman;Times;serif" w:hAnsi="Times New Roman;Times;serif"/>
          <w:color w:val="000000"/>
          <w:sz w:val="20"/>
          <w:u w:val="single"/>
        </w:rPr>
        <w:t>Usury</w:t>
      </w:r>
      <w:r>
        <w:rPr>
          <w:rFonts w:ascii="Times New Roman;Times;serif" w:hAnsi="Times New Roman;Times;serif"/>
          <w:color w:val="000000"/>
          <w:sz w:val="20"/>
        </w:rPr>
        <w:t>. To the extent it may lawfully do so, the Company hereby agrees not to insist upon or plead or in any manner whatsoever claim, and will resist any and all efforts to be compelled to take the benefit or advantage of, usury laws wherever enacted, now or at any time hereafter in force, in connection with any Action or Proceeding that may be brought by any Purchaser in order to enforce any right or remedy under any Transaction Document. Notwithstanding any provision to the contrary contained in any Transaction Document, it is expressly agreed and provided that the total liability of the Company under the Transaction Documents for payments in the nature of interest shall not exceed the maximum lawful rate authorized under applicable law (the “</w:t>
      </w:r>
      <w:r>
        <w:rPr>
          <w:rFonts w:ascii="Times New Roman;Times;serif" w:hAnsi="Times New Roman;Times;serif"/>
          <w:color w:val="000000"/>
          <w:sz w:val="20"/>
          <w:u w:val="single"/>
        </w:rPr>
        <w:t>Maximum Rate</w:t>
      </w:r>
      <w:r>
        <w:rPr>
          <w:rFonts w:ascii="Times New Roman;Times;serif" w:hAnsi="Times New Roman;Times;serif"/>
          <w:color w:val="000000"/>
          <w:sz w:val="20"/>
        </w:rPr>
        <w:t>”), and, without limiting the foregoing, in no event shall any rate of interest or default interest, or both of them, when aggregated with any other sums in the nature of interest that the Company may be obligated to pay under the Transaction Documents exceed such Maximum Rate. It is agreed that if the maximum contract rate of interest allowed by law and applicable to the Transaction Documents is increased or decreased by statute or any official governmental action subsequent to the date hereof, the new maximum contract rate of interest allowed by law will be the Maximum Rate applicable to the Transaction Documents from the Initial Closing Date thereof forward, unless such application is precluded by applicable law. If under any circumstances whatsoever, interest in excess of the Maximum Rate is paid by the Company to any Purchaser with respect to indebtedness evidenced by the Transaction Documents, such excess shall be applied by such Purchaser to the unpaid principal balance of any such indebtedness or be refunded to the Company, the manner of handling such excess to be at such Purchaser’s election.</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40</w:t>
      </w:r>
    </w:p>
    <w:p>
      <w:pPr>
        <w:pStyle w:val="HorizontalLine"/>
        <w:pBdr>
          <w:bottom w:val="single" w:sz="12" w:space="0" w:color="808080"/>
        </w:pBdr>
        <w:bidi w:val="0"/>
        <w:spacing w:before="200" w:after="200"/>
        <w:jc w:val="left"/>
        <w:rPr/>
      </w:pPr>
      <w:r>
        <w:rPr/>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5.19          </w:t>
      </w:r>
      <w:r>
        <w:rPr>
          <w:rFonts w:ascii="Times New Roman;Times;serif" w:hAnsi="Times New Roman;Times;serif"/>
          <w:color w:val="000000"/>
          <w:sz w:val="20"/>
          <w:u w:val="single"/>
        </w:rPr>
        <w:t>Independent Nature of Purchasers’ Obligations and Rights</w:t>
      </w:r>
      <w:r>
        <w:rPr>
          <w:rFonts w:ascii="Times New Roman;Times;serif" w:hAnsi="Times New Roman;Times;serif"/>
          <w:color w:val="000000"/>
          <w:sz w:val="20"/>
        </w:rPr>
        <w:t>. The obligations of each Purchaser under any Transaction Document are several and not joint with the obligations of any other Purchaser, and no Purchaser shall be responsible in any way for the performance or non-performance of the obligations of any other Purchaser under any Transaction Document. Nothing contained herein or in any other Transaction Document, and no action taken by any Purchaser pursuant hereto or thereto, shall be deemed to constitute the Purchasers as a partnership, an association, a joint venture or any other kind of entity, or create a presumption that the Purchasers are in any way acting in concert or as a group with respect to such obligations or the transactions contemplated by the Transaction Documents. Each Purchaser shall be entitled to independently protect and enforce its rights, including, without limitation, the rights arising out of this Agreement or out of the other Transaction Documents, and it shall not be necessary for any other Purchaser to be joined as an additional party in any Proceeding for such purpose. Each Purchaser has been represented by its own separate legal counsel in its review and negotiation of the Transaction Documents. For reasons of administrative convenience only, each Purchaser and its respective counsel have chosen to communicate with the Company through Haynes and Boone, LLP. The Company has elected to provide all Purchasers with the same terms and Transaction Documents for the convenience of the Company and not because it was required or requested to do so by any of the Purchasers. It is expressly understood and agreed that each provision contained in this Agreement and in each other Transaction Document is between the Company and a Purchaser, solely, and not between the Company and the Purchasers collectively and not between and among the Purchasers.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5.20          </w:t>
      </w:r>
      <w:r>
        <w:rPr>
          <w:rFonts w:ascii="Times New Roman;Times;serif" w:hAnsi="Times New Roman;Times;serif"/>
          <w:color w:val="000000"/>
          <w:sz w:val="20"/>
          <w:u w:val="single"/>
        </w:rPr>
        <w:t>Liquidated Damages</w:t>
      </w:r>
      <w:r>
        <w:rPr>
          <w:rFonts w:ascii="Times New Roman;Times;serif" w:hAnsi="Times New Roman;Times;serif"/>
          <w:color w:val="000000"/>
          <w:sz w:val="20"/>
        </w:rPr>
        <w:t>. The Company’s obligations to pay any partial liquidated damages or other amounts owing under the Transaction Documents is a continuing obligation of the Company and shall not terminate until all unpaid partial liquidated damages and other amounts have been paid notwithstanding the fact that the instrument or security pursuant to which such partial liquidated damages or other amounts are due and payable shall have been canceled.</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5.21          </w:t>
      </w:r>
      <w:r>
        <w:rPr>
          <w:rFonts w:ascii="Times New Roman;Times;serif" w:hAnsi="Times New Roman;Times;serif"/>
          <w:color w:val="000000"/>
          <w:sz w:val="20"/>
          <w:u w:val="single"/>
        </w:rPr>
        <w:t>Saturdays, Sundays, Holidays, etc</w:t>
      </w:r>
      <w:r>
        <w:rPr>
          <w:rFonts w:ascii="Times New Roman;Times;serif" w:hAnsi="Times New Roman;Times;serif"/>
          <w:color w:val="000000"/>
          <w:sz w:val="20"/>
        </w:rPr>
        <w:t>. If the last or appointed day for the taking of any action or the expiration of any right required or granted herein shall not be a Business Day, then such action may be taken or such right may be exercised on the next succeeding Business Day.</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5.22          </w:t>
      </w:r>
      <w:r>
        <w:rPr>
          <w:rFonts w:ascii="Times New Roman;Times;serif" w:hAnsi="Times New Roman;Times;serif"/>
          <w:color w:val="000000"/>
          <w:sz w:val="20"/>
          <w:u w:val="single"/>
        </w:rPr>
        <w:t>Construction</w:t>
      </w:r>
      <w:r>
        <w:rPr>
          <w:rFonts w:ascii="Times New Roman;Times;serif" w:hAnsi="Times New Roman;Times;serif"/>
          <w:color w:val="000000"/>
          <w:sz w:val="20"/>
        </w:rPr>
        <w:t>. The parties agree that each of them and/or their respective counsel have reviewed and had an opportunity to revise the Transaction Documents and, therefore, the normal rule of construction to the effect that any ambiguities are to be resolved against the drafting party shall not be employed in the interpretation of the Transaction Documents or any amendments thereto. In addition, each and every reference to share prices and Ordinary Shares in any Transaction Document shall be subject to adjustment for reverse and forward stock splits, stock dividends, stock combinations and other similar transactions of the Ordinary Shares that occur after the date of this Agreement.</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41</w:t>
      </w:r>
    </w:p>
    <w:p>
      <w:pPr>
        <w:pStyle w:val="HorizontalLine"/>
        <w:pBdr>
          <w:bottom w:val="single" w:sz="12" w:space="0" w:color="808080"/>
        </w:pBdr>
        <w:bidi w:val="0"/>
        <w:spacing w:before="200" w:after="200"/>
        <w:jc w:val="left"/>
        <w:rPr/>
      </w:pPr>
      <w:r>
        <w:rPr/>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5.23          </w:t>
      </w:r>
      <w:r>
        <w:rPr>
          <w:rFonts w:ascii="Times New Roman;Times;serif" w:hAnsi="Times New Roman;Times;serif"/>
          <w:color w:val="000000"/>
          <w:sz w:val="20"/>
          <w:u w:val="single"/>
        </w:rPr>
        <w:t>Tax Matters</w:t>
      </w:r>
      <w:r>
        <w:rPr>
          <w:rFonts w:ascii="Times New Roman;Times;serif" w:hAnsi="Times New Roman;Times;serif"/>
          <w:color w:val="000000"/>
          <w:sz w:val="20"/>
        </w:rPr>
        <w:t>. The Company and the Purchaser agree (i) to treat the Notes as debt for all U.S. federal and state income tax purposes, and, in accordance with Section 385(c) of the Code, such characterization shall be binding upon the Purchasers and the Company (along with their successors and assigns) and (ii) not to take any position contrary to this Section 5.23 on any tax return, tax audit or other tax proceedings unless otherwise required by applicable law.</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5.24          </w:t>
      </w:r>
      <w:r>
        <w:rPr>
          <w:rFonts w:ascii="Times New Roman;Times;serif" w:hAnsi="Times New Roman;Times;serif"/>
          <w:b/>
          <w:color w:val="000000"/>
          <w:sz w:val="20"/>
          <w:u w:val="single"/>
        </w:rPr>
        <w:t>WAIVER OF JURY TRIAL</w:t>
      </w:r>
      <w:r>
        <w:rPr>
          <w:rFonts w:ascii="Times New Roman;Times;serif" w:hAnsi="Times New Roman;Times;serif"/>
          <w:b/>
          <w:color w:val="000000"/>
          <w:sz w:val="20"/>
        </w:rPr>
        <w:t>. IN ANY ACTION, SUIT, OR PROCEEDING IN ANY JURISDICTION BROUGHT BY ANY PARTY AGAINST ANY OTHER PARTY, THE PARTIES EACH KNOWINGLY AND INTENTIONALLY, TO THE GREATEST EXTENT PERMITTED BY APPLICABLE LAW, HEREBY ABSOLUTELY, UNCONDITIONALLY, IRREVOCABLY AND EXPRESSLY WAIVES FOREVER TRIAL BY JURY</w:t>
      </w:r>
      <w:r>
        <w:rPr>
          <w:rFonts w:ascii="Times New Roman;Times;serif" w:hAnsi="Times New Roman;Times;serif"/>
          <w:color w:val="000000"/>
          <w:sz w:val="20"/>
        </w:rPr>
        <w:t>.</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5.25          </w:t>
      </w:r>
      <w:r>
        <w:rPr>
          <w:rFonts w:ascii="Times New Roman;Times;serif" w:hAnsi="Times New Roman;Times;serif"/>
          <w:color w:val="000000"/>
          <w:sz w:val="20"/>
          <w:u w:val="single"/>
        </w:rPr>
        <w:t>Agent</w:t>
      </w:r>
      <w:r>
        <w:rPr>
          <w:rFonts w:ascii="Times New Roman;Times;serif" w:hAnsi="Times New Roman;Times;serif"/>
          <w:color w:val="000000"/>
          <w:sz w:val="20"/>
        </w:rPr>
        <w:t>.</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(a)          Each Purchaser hereby (i) appoints the Agent, as the collateral agent hereunder and under the Security Documents, and (ii) authorizes the Agent (and its general partner, officers, employees and agents) to take such action on such Purchaser’s behalf in accordance with the terms hereof and thereof. The Agent shall not have, by reason hereof or any of the Security Documents, a fiduciary relationship in respect of any Purchaser. Neither the Agent nor any of its partners, officers, employees or agents shall have any liability to any Purchaser for any action taken or omitted to be taken in connection hereof or any other Security Document except to the extent caused by its own gross negligence or willful misconduct, and each Purchaser agrees to defend, protect, indemnify and hold harmless the Agent and all of its partners, officers, employees and agents (collectively, the “</w:t>
      </w:r>
      <w:r>
        <w:rPr>
          <w:rFonts w:ascii="Times New Roman;Times;serif" w:hAnsi="Times New Roman;Times;serif"/>
          <w:color w:val="000000"/>
          <w:sz w:val="20"/>
          <w:u w:val="single"/>
        </w:rPr>
        <w:t>Agent Indemnitees</w:t>
      </w:r>
      <w:r>
        <w:rPr>
          <w:rFonts w:ascii="Times New Roman;Times;serif" w:hAnsi="Times New Roman;Times;serif"/>
          <w:color w:val="000000"/>
          <w:sz w:val="20"/>
        </w:rPr>
        <w:t xml:space="preserve">”) from and against any losses, damages, liabilities, obligations, penalties, actions, judgments, suits, fees, costs and expenses (including, without limitation, reasonable attorneys’ fees, costs and expenses) incurred by such Agent Indemnitee, whether direct, indirect or consequential, arising from or in connection with the performance by such Agent Indemnitee of the duties and obligations of Agent pursuant hereto or any of the Security Documents. The Agent shall not be required to exercise any discretion or take any action, but shall be required to act or to refrain from acting (and shall be fully protected in so acting or refraining from acting) upon the instructions of the Majority Holders, and such instructions shall be binding upon all holders of Notes;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however</w:t>
      </w:r>
      <w:r>
        <w:rPr>
          <w:rFonts w:ascii="Times New Roman;Times;serif" w:hAnsi="Times New Roman;Times;serif"/>
          <w:color w:val="000000"/>
          <w:sz w:val="20"/>
        </w:rPr>
        <w:t xml:space="preserve">, </w:t>
      </w:r>
      <w:r>
        <w:rPr>
          <w:rFonts w:ascii="Times New Roman;Times;serif" w:hAnsi="Times New Roman;Times;serif"/>
          <w:color w:val="000000"/>
          <w:sz w:val="20"/>
          <w:u w:val="single"/>
        </w:rPr>
        <w:t>that</w:t>
      </w:r>
      <w:r>
        <w:rPr>
          <w:rFonts w:ascii="Times New Roman;Times;serif" w:hAnsi="Times New Roman;Times;serif"/>
          <w:color w:val="000000"/>
          <w:sz w:val="20"/>
        </w:rPr>
        <w:t xml:space="preserve"> the Agent shall not be required to take any action which, in the reasonable opinion of the Agent, exposes the Agent to liability or which is contrary to this Agreement or any other Transaction Document or applicable law. The Agent shall be entitled to rely upon any written notices, statements, certificates, orders or other documents or any telephone message believed by it in good faith to be genuine and correct and to have been signed, sent or made by the proper Person, and with respect to all matters pertaining to this Agreement or any of the other Transaction Documents and its duties hereunder or thereunder, upon advice of counsel selected by it.</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(b)          </w:t>
      </w:r>
      <w:r>
        <w:rPr>
          <w:rFonts w:ascii="Times New Roman;Times;serif" w:hAnsi="Times New Roman;Times;serif"/>
          <w:color w:val="000000"/>
          <w:sz w:val="20"/>
          <w:u w:val="single"/>
        </w:rPr>
        <w:t>Successor Agent</w:t>
      </w:r>
      <w:r>
        <w:rPr>
          <w:rFonts w:ascii="Times New Roman;Times;serif" w:hAnsi="Times New Roman;Times;serif"/>
          <w:color w:val="000000"/>
          <w:sz w:val="20"/>
        </w:rPr>
        <w:t>.</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1440" w:right="0" w:firstLine="720"/>
        <w:jc w:val="both"/>
        <w:rPr>
          <w:rFonts w:ascii="Times New Roman;Times;serif" w:hAnsi="Times New Roman;Times;serif"/>
          <w:color w:val="000000"/>
          <w:sz w:val="20"/>
        </w:rPr>
      </w:pPr>
      <w:r>
        <w:rPr>
          <w:rFonts w:ascii="Times New Roman;Times;serif" w:hAnsi="Times New Roman;Times;serif"/>
          <w:color w:val="000000"/>
          <w:sz w:val="20"/>
        </w:rPr>
        <w:t xml:space="preserve">(i)          The Agent may (subject to the proviso to this sentence) resign from the performance of all its functions and duties hereunder and under the other Transaction Documents at any time by giving at least ten (10) Business Days’ prior written notice to the Company and each holder of Notes;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that</w:t>
      </w:r>
      <w:r>
        <w:rPr>
          <w:rFonts w:ascii="Times New Roman;Times;serif" w:hAnsi="Times New Roman;Times;serif"/>
          <w:color w:val="000000"/>
          <w:sz w:val="20"/>
        </w:rPr>
        <w:t>, the Person that is the resigning Agent has also concurrently submitted notice of its resignation as collateral agent under, and in accordance with, that certain Share Purchase Agreement, dated as of January 12, 2026, by and among the Company, Oramed Pharmaceuticals Inc. and Oratech Pharma, Inc. (as amended, the “</w:t>
      </w:r>
      <w:r>
        <w:rPr>
          <w:rFonts w:ascii="Times New Roman;Times;serif" w:hAnsi="Times New Roman;Times;serif"/>
          <w:color w:val="000000"/>
          <w:sz w:val="20"/>
          <w:u w:val="single"/>
        </w:rPr>
        <w:t>Related Securities Purchase Agreement</w:t>
      </w:r>
      <w:r>
        <w:rPr>
          <w:rFonts w:ascii="Times New Roman;Times;serif" w:hAnsi="Times New Roman;Times;serif"/>
          <w:color w:val="000000"/>
          <w:sz w:val="20"/>
        </w:rPr>
        <w:t>”; and such Person in its capacity as collateral agent under the Related Securities Purchase Agreement, the “</w:t>
      </w:r>
      <w:r>
        <w:rPr>
          <w:rFonts w:ascii="Times New Roman;Times;serif" w:hAnsi="Times New Roman;Times;serif"/>
          <w:color w:val="000000"/>
          <w:sz w:val="20"/>
          <w:u w:val="single"/>
        </w:rPr>
        <w:t>Related Agent</w:t>
      </w:r>
      <w:r>
        <w:rPr>
          <w:rFonts w:ascii="Times New Roman;Times;serif" w:hAnsi="Times New Roman;Times;serif"/>
          <w:color w:val="000000"/>
          <w:sz w:val="20"/>
        </w:rPr>
        <w:t xml:space="preserve">”). Such resignation shall take effect upon (A) the acceptance by a successor Agent of appointment pursuant to </w:t>
      </w:r>
      <w:r>
        <w:rPr>
          <w:rFonts w:ascii="Times New Roman;Times;serif" w:hAnsi="Times New Roman;Times;serif"/>
          <w:color w:val="000000"/>
          <w:sz w:val="20"/>
          <w:u w:val="single"/>
        </w:rPr>
        <w:t>clauses (ii</w:t>
      </w:r>
      <w:r>
        <w:rPr>
          <w:rFonts w:ascii="Times New Roman;Times;serif" w:hAnsi="Times New Roman;Times;serif"/>
          <w:color w:val="000000"/>
          <w:sz w:val="20"/>
        </w:rPr>
        <w:t>) and (</w:t>
      </w:r>
      <w:r>
        <w:rPr>
          <w:rFonts w:ascii="Times New Roman;Times;serif" w:hAnsi="Times New Roman;Times;serif"/>
          <w:color w:val="000000"/>
          <w:sz w:val="20"/>
          <w:u w:val="single"/>
        </w:rPr>
        <w:t>iii</w:t>
      </w:r>
      <w:r>
        <w:rPr>
          <w:rFonts w:ascii="Times New Roman;Times;serif" w:hAnsi="Times New Roman;Times;serif"/>
          <w:color w:val="000000"/>
          <w:sz w:val="20"/>
        </w:rPr>
        <w:t xml:space="preserve">) below or as otherwise provided below, and (B) the acceptance by a successor Related Agent, who is the same Person as the successor Agent described in the immediately foregoing </w:t>
      </w:r>
      <w:r>
        <w:rPr>
          <w:rFonts w:ascii="Times New Roman;Times;serif" w:hAnsi="Times New Roman;Times;serif"/>
          <w:color w:val="000000"/>
          <w:sz w:val="20"/>
          <w:u w:val="single"/>
        </w:rPr>
        <w:t>clause (i)(A</w:t>
      </w:r>
      <w:r>
        <w:rPr>
          <w:rFonts w:ascii="Times New Roman;Times;serif" w:hAnsi="Times New Roman;Times;serif"/>
          <w:color w:val="000000"/>
          <w:sz w:val="20"/>
        </w:rPr>
        <w:t xml:space="preserve">), of appointment in accordance with the Related Securities Purchase Agreement. The Majority Holders may, by written consent, remove the Agent from all its functions and duties hereunder and under the other Transaction Documents,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that</w:t>
      </w:r>
      <w:r>
        <w:rPr>
          <w:rFonts w:ascii="Times New Roman;Times;serif" w:hAnsi="Times New Roman;Times;serif"/>
          <w:color w:val="000000"/>
          <w:sz w:val="20"/>
        </w:rPr>
        <w:t>, (A) the Related Agent (who is the same Person as the to-be-removed Agent) shall have concurrently either resigned from such capacity or have been removed from such capacity in accordance with the Related Securities Purchase Agreement, and (B) the successor Agent appointed is, in any event, the same Person as the successor Related Agent appointed.</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42</w:t>
      </w:r>
    </w:p>
    <w:p>
      <w:pPr>
        <w:pStyle w:val="HorizontalLine"/>
        <w:pBdr>
          <w:bottom w:val="single" w:sz="12" w:space="0" w:color="808080"/>
        </w:pBdr>
        <w:bidi w:val="0"/>
        <w:spacing w:before="200" w:after="200"/>
        <w:jc w:val="left"/>
        <w:rPr/>
      </w:pPr>
      <w:r>
        <w:rPr/>
      </w:r>
    </w:p>
    <w:p>
      <w:pPr>
        <w:pStyle w:val="TextBody"/>
        <w:bidi w:val="0"/>
        <w:spacing w:lineRule="auto" w:line="300" w:before="0" w:after="0"/>
        <w:ind w:left="1440" w:right="0" w:firstLine="720"/>
        <w:jc w:val="both"/>
        <w:rPr>
          <w:rFonts w:ascii="Times New Roman;Times;serif" w:hAnsi="Times New Roman;Times;serif"/>
          <w:color w:val="000000"/>
          <w:sz w:val="20"/>
        </w:rPr>
      </w:pPr>
      <w:r>
        <w:rPr>
          <w:rFonts w:ascii="Times New Roman;Times;serif" w:hAnsi="Times New Roman;Times;serif"/>
          <w:color w:val="000000"/>
          <w:sz w:val="20"/>
        </w:rPr>
        <w:t xml:space="preserve">(ii)          Upon any such notice of resignation or removal, the Majority Holders shall, with the prior written consent of the Company (which consent shall not be unreasonably withheld, delayed or conditioned), appoint a successor Agent;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that</w:t>
      </w:r>
      <w:r>
        <w:rPr>
          <w:rFonts w:ascii="Times New Roman;Times;serif" w:hAnsi="Times New Roman;Times;serif"/>
          <w:color w:val="000000"/>
          <w:sz w:val="20"/>
        </w:rPr>
        <w:t xml:space="preserve">, such successor Agent appointed shall, in any event and at all times, be the same Person as the Related Agent. Upon the acceptance of any appointment as Agent hereunder and as Related Agent under the Related Securities Purchase Agreement by a successor agent, such successor collateral agent shall thereupon succeed to and become vested with all the rights, powers, privileges and duties of the collateral agent, and the Agent shall be discharged from its duties and obligations under this Agreement and the other Transaction Documents and the Related Agent shall be discharged from its duties and obligations under the Related Securities Purchase Agreement and the other Transaction Documents (as such term is defined in the Related Securities Purchase Agreement). After the Agent’s resignation or removal hereunder as the collateral agent, the provisions of this </w:t>
      </w:r>
      <w:r>
        <w:rPr>
          <w:rFonts w:ascii="Times New Roman;Times;serif" w:hAnsi="Times New Roman;Times;serif"/>
          <w:color w:val="000000"/>
          <w:sz w:val="20"/>
          <w:u w:val="single"/>
        </w:rPr>
        <w:t>Section 5.25</w:t>
      </w:r>
      <w:r>
        <w:rPr>
          <w:rFonts w:ascii="Times New Roman;Times;serif" w:hAnsi="Times New Roman;Times;serif"/>
          <w:color w:val="000000"/>
          <w:sz w:val="20"/>
        </w:rPr>
        <w:t xml:space="preserve"> shall inure to its benefit as to any actions taken or omitted to be taken by it while it was the Agent under this Agreement and the other Transaction Documents.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1440" w:right="0" w:firstLine="720"/>
        <w:jc w:val="both"/>
        <w:rPr>
          <w:rFonts w:ascii="Times New Roman;Times;serif" w:hAnsi="Times New Roman;Times;serif"/>
          <w:color w:val="000000"/>
          <w:sz w:val="20"/>
        </w:rPr>
      </w:pPr>
      <w:r>
        <w:rPr>
          <w:rFonts w:ascii="Times New Roman;Times;serif" w:hAnsi="Times New Roman;Times;serif"/>
          <w:color w:val="000000"/>
          <w:sz w:val="20"/>
        </w:rPr>
        <w:t xml:space="preserve">(iii)          If a successor collateral agent shall </w:t>
      </w:r>
      <w:r>
        <w:rPr>
          <w:rFonts w:ascii="Times New Roman;Times;serif" w:hAnsi="Times New Roman;Times;serif"/>
          <w:i/>
          <w:color w:val="000000"/>
          <w:sz w:val="20"/>
        </w:rPr>
        <w:t>not</w:t>
      </w:r>
      <w:r>
        <w:rPr>
          <w:rFonts w:ascii="Times New Roman;Times;serif" w:hAnsi="Times New Roman;Times;serif"/>
          <w:color w:val="000000"/>
          <w:sz w:val="20"/>
        </w:rPr>
        <w:t xml:space="preserve"> have been so appointed within ten (10) Business Days of receipt of a written notice of resignation or removal, the Agent shall, with the prior written consent of the Company (which consent shall not be unreasonably withheld, delayed or conditioned), then appoint a successor collateral agent who shall serve as the Agent until such time, if any, as the Majority Holders appoint a successor collateral agent as provided above;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that</w:t>
      </w:r>
      <w:r>
        <w:rPr>
          <w:rFonts w:ascii="Times New Roman;Times;serif" w:hAnsi="Times New Roman;Times;serif"/>
          <w:color w:val="000000"/>
          <w:sz w:val="20"/>
        </w:rPr>
        <w:t>, any such interim successor Agent shall, in any event and at all times, be the same Person as the Related Agent (including any interim successor Related Agent).</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1440" w:right="0" w:firstLine="720"/>
        <w:jc w:val="both"/>
        <w:rPr>
          <w:rFonts w:ascii="Times New Roman;Times;serif" w:hAnsi="Times New Roman;Times;serif"/>
          <w:color w:val="000000"/>
          <w:sz w:val="20"/>
        </w:rPr>
      </w:pPr>
      <w:r>
        <w:rPr>
          <w:rFonts w:ascii="Times New Roman;Times;serif" w:hAnsi="Times New Roman;Times;serif"/>
          <w:color w:val="000000"/>
          <w:sz w:val="20"/>
        </w:rPr>
        <w:t xml:space="preserve">(iv)          In the event that a successor Agent is appointed pursuant to the provisions of this </w:t>
      </w:r>
      <w:r>
        <w:rPr>
          <w:rFonts w:ascii="Times New Roman;Times;serif" w:hAnsi="Times New Roman;Times;serif"/>
          <w:color w:val="000000"/>
          <w:sz w:val="20"/>
          <w:u w:val="single"/>
        </w:rPr>
        <w:t>Section 5.25</w:t>
      </w:r>
      <w:r>
        <w:rPr>
          <w:rFonts w:ascii="Times New Roman;Times;serif" w:hAnsi="Times New Roman;Times;serif"/>
          <w:color w:val="000000"/>
          <w:sz w:val="20"/>
        </w:rPr>
        <w:t xml:space="preserve"> that is </w:t>
      </w:r>
      <w:r>
        <w:rPr>
          <w:rFonts w:ascii="Times New Roman;Times;serif" w:hAnsi="Times New Roman;Times;serif"/>
          <w:i/>
          <w:color w:val="000000"/>
          <w:sz w:val="20"/>
        </w:rPr>
        <w:t>not</w:t>
      </w:r>
      <w:r>
        <w:rPr>
          <w:rFonts w:ascii="Times New Roman;Times;serif" w:hAnsi="Times New Roman;Times;serif"/>
          <w:color w:val="000000"/>
          <w:sz w:val="20"/>
        </w:rPr>
        <w:t xml:space="preserve"> a Purchaser or an affiliate of any Purchaser (or the Majority Holders or the Agent (or its successor), as applicable, notify the Company that they or it wants to appoint such a successor Agent pursuant to the terms of this </w:t>
      </w:r>
      <w:r>
        <w:rPr>
          <w:rFonts w:ascii="Times New Roman;Times;serif" w:hAnsi="Times New Roman;Times;serif"/>
          <w:color w:val="000000"/>
          <w:sz w:val="20"/>
          <w:u w:val="single"/>
        </w:rPr>
        <w:t>Section 5.25</w:t>
      </w:r>
      <w:r>
        <w:rPr>
          <w:rFonts w:ascii="Times New Roman;Times;serif" w:hAnsi="Times New Roman;Times;serif"/>
          <w:color w:val="000000"/>
          <w:sz w:val="20"/>
        </w:rPr>
        <w:t>), the Company and each Subsidiary thereof covenants and agrees to promptly take all actions reasonably requested by the Majority Holders or the Agent (or its successor), as applicable, from time to time, to secure a successor Agent that is the same Person as the Related Agent and is satisfactory to the requesting part(y)(ies), in their sole discretion, including, without limitation, by paying all reasonable and documented out-of-pocket fees and expenses of such successor Agent and successor Related Agent, by having the Company and each Subsidiary thereof agree to indemnify any successor Agent and any successor Related Agent pursuant to reasonable and customary terms and by each of the Company and each Subsidiary thereof executing a collateral agency agreement or similar agreement and/or any amendment to the Security Documents or the Security Documents (as such term is defined in the Related Securities Purchase Agreement) reasonably requested or required by the successor Agent or successor Related Agent.</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center"/>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i/>
          <w:color w:val="000000"/>
          <w:sz w:val="20"/>
        </w:rPr>
        <w:t>Signature Pages Follow</w:t>
      </w:r>
      <w:r>
        <w:rPr>
          <w:rFonts w:ascii="Times New Roman;Times;serif" w:hAnsi="Times New Roman;Times;serif"/>
          <w:color w:val="000000"/>
          <w:sz w:val="20"/>
        </w:rPr>
        <w:t>)</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43</w:t>
      </w:r>
    </w:p>
    <w:p>
      <w:pPr>
        <w:pStyle w:val="HorizontalLine"/>
        <w:pBdr>
          <w:bottom w:val="single" w:sz="12" w:space="0" w:color="808080"/>
        </w:pBdr>
        <w:bidi w:val="0"/>
        <w:spacing w:before="200" w:after="200"/>
        <w:jc w:val="left"/>
        <w:rPr/>
      </w:pPr>
      <w:r>
        <w:rPr/>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b/>
          <w:color w:val="000000"/>
          <w:sz w:val="20"/>
        </w:rPr>
        <w:t>IN WITNESS WHEREOF</w:t>
      </w:r>
      <w:r>
        <w:rPr>
          <w:rFonts w:ascii="Times New Roman;Times;serif" w:hAnsi="Times New Roman;Times;serif"/>
          <w:color w:val="000000"/>
          <w:sz w:val="20"/>
        </w:rPr>
        <w:t>, the parties hereto have caused this Securities Purchase Agreement to be duly executed by their respective authorized signatories as of the date first indicated above.</w:t>
      </w:r>
    </w:p>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218" w:name="zaff99c82a75c4a0ca7c6162c73af4189"/>
      <w:bookmarkStart w:id="219" w:name="zaff99c82a75c4a0ca7c6162c73af4189"/>
      <w:bookmarkEnd w:id="219"/>
    </w:p>
    <w:tbl>
      <w:tblPr>
        <w:tblW w:w="6115" w:type="dxa"/>
        <w:jc w:val="left"/>
        <w:tblInd w:w="0" w:type="dxa"/>
        <w:tblLayout w:type="fixed"/>
        <w:tblCellMar>
          <w:top w:w="0" w:type="dxa"/>
          <w:left w:w="0" w:type="dxa"/>
          <w:bottom w:w="0" w:type="dxa"/>
          <w:right w:w="0" w:type="dxa"/>
        </w:tblCellMar>
      </w:tblPr>
      <w:tblGrid>
        <w:gridCol w:w="3725"/>
        <w:gridCol w:w="2390"/>
      </w:tblGrid>
      <w:tr>
        <w:trPr/>
        <w:tc>
          <w:tcPr>
            <w:tcW w:w="3725" w:type="dxa"/>
            <w:tcBorders/>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LIFEWARD LTD.</w:t>
            </w:r>
          </w:p>
        </w:tc>
        <w:tc>
          <w:tcPr>
            <w:tcW w:w="2390" w:type="dxa"/>
            <w:tcBorders/>
            <w:vAlign w:val="center"/>
          </w:tcPr>
          <w:p>
            <w:pPr>
              <w:pStyle w:val="TableContents"/>
              <w:bidi w:val="0"/>
              <w:spacing w:lineRule="auto" w:line="300" w:before="0" w:after="0"/>
              <w:jc w:val="left"/>
              <w:rPr>
                <w:rFonts w:ascii="Times New Roman;Times;serif" w:hAnsi="Times New Roman;Times;serif"/>
                <w:sz w:val="20"/>
                <w:u w:val="single"/>
              </w:rPr>
            </w:pPr>
            <w:r>
              <w:rPr>
                <w:rFonts w:ascii="Times New Roman;Times;serif" w:hAnsi="Times New Roman;Times;serif"/>
                <w:sz w:val="20"/>
                <w:u w:val="single"/>
              </w:rPr>
              <w:t>Address for Notice:</w:t>
            </w:r>
          </w:p>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Lifeward Ltd.</w:t>
            </w:r>
          </w:p>
        </w:tc>
      </w:tr>
      <w:tr>
        <w:trPr/>
        <w:tc>
          <w:tcPr>
            <w:tcW w:w="372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By: ___________________________</w:t>
            </w:r>
          </w:p>
          <w:p>
            <w:pPr>
              <w:pStyle w:val="TableContents"/>
              <w:bidi w:val="0"/>
              <w:spacing w:lineRule="auto" w:line="300" w:before="0" w:after="0"/>
              <w:ind w:left="360" w:right="0" w:hanging="0"/>
              <w:jc w:val="left"/>
              <w:rPr/>
            </w:pPr>
            <w:r>
              <w:rPr/>
              <w:t> </w:t>
            </w:r>
            <w:r>
              <w:rPr>
                <w:rFonts w:ascii="Times New Roman;Times;serif" w:hAnsi="Times New Roman;Times;serif"/>
                <w:sz w:val="20"/>
              </w:rPr>
              <w:t>Name: William Mark Grant</w:t>
            </w:r>
          </w:p>
          <w:p>
            <w:pPr>
              <w:pStyle w:val="TableContents"/>
              <w:bidi w:val="0"/>
              <w:spacing w:lineRule="auto" w:line="300" w:before="0" w:after="0"/>
              <w:ind w:left="360" w:right="0" w:hanging="0"/>
              <w:jc w:val="left"/>
              <w:rPr/>
            </w:pPr>
            <w:r>
              <w:rPr/>
              <w:t> </w:t>
            </w:r>
            <w:r>
              <w:rPr>
                <w:rFonts w:ascii="Times New Roman;Times;serif" w:hAnsi="Times New Roman;Times;serif"/>
                <w:sz w:val="20"/>
              </w:rPr>
              <w:t>Title:   President and Chief Executive Officer</w:t>
            </w:r>
          </w:p>
          <w:p>
            <w:pPr>
              <w:pStyle w:val="TableContents"/>
              <w:bidi w:val="0"/>
              <w:spacing w:lineRule="auto" w:line="300" w:before="0" w:after="0"/>
              <w:jc w:val="left"/>
              <w:rPr/>
            </w:pPr>
            <w:r>
              <w:rPr/>
              <w:t> </w:t>
            </w:r>
          </w:p>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With a copy to:</w:t>
            </w:r>
          </w:p>
        </w:tc>
        <w:tc>
          <w:tcPr>
            <w:tcW w:w="239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2 Cabot Rd.,</w:t>
            </w:r>
          </w:p>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Hudson, MA 01749</w:t>
            </w:r>
          </w:p>
          <w:p>
            <w:pPr>
              <w:pStyle w:val="TableContents"/>
              <w:bidi w:val="0"/>
              <w:spacing w:lineRule="auto" w:line="300" w:before="0" w:after="0"/>
              <w:jc w:val="left"/>
              <w:rPr/>
            </w:pPr>
            <w:r>
              <w:rPr/>
              <w:t> </w:t>
            </w:r>
          </w:p>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u w:val="single"/>
              </w:rPr>
              <w:t>Email</w:t>
            </w:r>
            <w:r>
              <w:rPr>
                <w:rFonts w:ascii="Times New Roman;Times;serif" w:hAnsi="Times New Roman;Times;serif"/>
                <w:sz w:val="20"/>
              </w:rPr>
              <w:t>:</w:t>
            </w:r>
          </w:p>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mark.grant@golifeward.com;</w:t>
            </w:r>
          </w:p>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almog.adar@golifeward.com</w:t>
            </w:r>
          </w:p>
        </w:tc>
      </w:tr>
      <w:tr>
        <w:trPr/>
        <w:tc>
          <w:tcPr>
            <w:tcW w:w="372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Goodwin Procter LLP</w:t>
            </w:r>
          </w:p>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3025 John F Kennedy Blvd</w:t>
            </w:r>
          </w:p>
        </w:tc>
        <w:tc>
          <w:tcPr>
            <w:tcW w:w="2390" w:type="dxa"/>
            <w:tcBorders/>
            <w:vAlign w:val="center"/>
          </w:tcPr>
          <w:p>
            <w:pPr>
              <w:pStyle w:val="TableContents"/>
              <w:bidi w:val="0"/>
              <w:spacing w:before="0" w:after="283"/>
              <w:jc w:val="left"/>
              <w:rPr/>
            </w:pPr>
            <w:r>
              <w:rPr/>
              <w:t> </w:t>
            </w:r>
          </w:p>
        </w:tc>
      </w:tr>
    </w:tbl>
    <w:p>
      <w:pPr>
        <w:pStyle w:val="TextBody"/>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Philadelphia, PA 19104</w:t>
      </w:r>
    </w:p>
    <w:p>
      <w:pPr>
        <w:pStyle w:val="TextBody"/>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Attn: Rachael M. Bushey, Esq.; Jennifer L. Porter, Esq.</w:t>
      </w:r>
    </w:p>
    <w:p>
      <w:pPr>
        <w:pStyle w:val="TextBody"/>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Email: </w:t>
      </w:r>
      <w:r>
        <w:rPr>
          <w:rFonts w:ascii="Times New Roman;Times;serif" w:hAnsi="Times New Roman;Times;serif"/>
          <w:color w:val="000000"/>
          <w:sz w:val="20"/>
          <w:u w:val="single"/>
        </w:rPr>
        <w:t>rbushey@goodwinlaw.com</w:t>
      </w:r>
      <w:r>
        <w:rPr>
          <w:rFonts w:ascii="Times New Roman;Times;serif" w:hAnsi="Times New Roman;Times;serif"/>
          <w:color w:val="000000"/>
          <w:sz w:val="20"/>
        </w:rPr>
        <w:t xml:space="preserve">; </w:t>
      </w:r>
      <w:r>
        <w:rPr>
          <w:rFonts w:ascii="Times New Roman;Times;serif" w:hAnsi="Times New Roman;Times;serif"/>
          <w:color w:val="000000"/>
          <w:sz w:val="20"/>
          <w:u w:val="single"/>
        </w:rPr>
        <w:t>jporter@goodwinlaw.com</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center"/>
        <w:rPr>
          <w:rFonts w:ascii="Times New Roman;Times;serif" w:hAnsi="Times New Roman;Times;serif"/>
          <w:color w:val="000000"/>
          <w:sz w:val="20"/>
        </w:rPr>
      </w:pPr>
      <w:r>
        <w:rPr>
          <w:rFonts w:ascii="Times New Roman;Times;serif" w:hAnsi="Times New Roman;Times;serif"/>
          <w:color w:val="000000"/>
          <w:sz w:val="20"/>
        </w:rPr>
        <w:t>[REMAINDER OF PAGE INTENTIONALLY LEFT BLANK</w:t>
      </w:r>
    </w:p>
    <w:p>
      <w:pPr>
        <w:pStyle w:val="TextBody"/>
        <w:bidi w:val="0"/>
        <w:spacing w:lineRule="auto" w:line="300" w:before="0" w:after="0"/>
        <w:jc w:val="center"/>
        <w:rPr>
          <w:rFonts w:ascii="Times New Roman;Times;serif" w:hAnsi="Times New Roman;Times;serif"/>
          <w:color w:val="000000"/>
          <w:sz w:val="20"/>
        </w:rPr>
      </w:pPr>
      <w:r>
        <w:rPr>
          <w:rFonts w:ascii="Times New Roman;Times;serif" w:hAnsi="Times New Roman;Times;serif"/>
          <w:color w:val="000000"/>
          <w:sz w:val="20"/>
        </w:rPr>
        <w:t>SIGNATURE PAGE FOR PURCHASER FOLLOWS]</w:t>
      </w:r>
    </w:p>
    <w:p>
      <w:pPr>
        <w:pStyle w:val="TextBody"/>
        <w:bidi w:val="0"/>
        <w:spacing w:lineRule="auto" w:line="300"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lineRule="auto" w:line="300" w:before="0" w:after="0"/>
        <w:jc w:val="center"/>
        <w:rPr>
          <w:rFonts w:ascii="Times New Roman;Times;serif" w:hAnsi="Times New Roman;Times;serif"/>
          <w:color w:val="000000"/>
          <w:sz w:val="20"/>
        </w:rPr>
      </w:pPr>
      <w:r>
        <w:rPr>
          <w:rFonts w:ascii="Times New Roman;Times;serif" w:hAnsi="Times New Roman;Times;serif"/>
          <w:color w:val="000000"/>
          <w:sz w:val="20"/>
        </w:rPr>
        <w:t>[AGENT SIGNATURE PAGE TO LFWD SECURITIES PURCHASE AGREEMENT]</w:t>
      </w:r>
    </w:p>
    <w:p>
      <w:pPr>
        <w:pStyle w:val="TextBody"/>
        <w:bidi w:val="0"/>
        <w:spacing w:lineRule="auto" w:line="300" w:before="0" w:after="0"/>
        <w:jc w:val="center"/>
        <w:rPr>
          <w:rFonts w:ascii="Times New Roman;Times;serif" w:hAnsi="Times New Roman;Times;serif"/>
          <w:sz w:val="20"/>
        </w:rPr>
      </w:pPr>
      <w:r>
        <w:rPr>
          <w:rFonts w:ascii="Times New Roman;Times;serif" w:hAnsi="Times New Roman;Times;serif"/>
          <w:sz w:val="20"/>
        </w:rPr>
      </w:r>
    </w:p>
    <w:p>
      <w:pPr>
        <w:pStyle w:val="Normal"/>
        <w:bidi w:val="0"/>
        <w:spacing w:before="0" w:after="0"/>
        <w:jc w:val="left"/>
        <w:rPr>
          <w:sz w:val="4"/>
          <w:szCs w:val="4"/>
        </w:rPr>
      </w:pPr>
      <w:r>
        <w:rPr>
          <w:sz w:val="4"/>
          <w:szCs w:val="4"/>
        </w:rPr>
      </w:r>
      <w:bookmarkStart w:id="220" w:name="z4fc86b708a4b4984a5b9674562625bec"/>
      <w:bookmarkStart w:id="221" w:name="z4fc86b708a4b4984a5b9674562625bec"/>
      <w:bookmarkEnd w:id="221"/>
    </w:p>
    <w:tbl>
      <w:tblPr>
        <w:tblW w:w="6520" w:type="dxa"/>
        <w:jc w:val="left"/>
        <w:tblInd w:w="0" w:type="dxa"/>
        <w:tblLayout w:type="fixed"/>
        <w:tblCellMar>
          <w:top w:w="0" w:type="dxa"/>
          <w:left w:w="0" w:type="dxa"/>
          <w:bottom w:w="0" w:type="dxa"/>
          <w:right w:w="0" w:type="dxa"/>
        </w:tblCellMar>
      </w:tblPr>
      <w:tblGrid>
        <w:gridCol w:w="4925"/>
        <w:gridCol w:w="1595"/>
      </w:tblGrid>
      <w:tr>
        <w:trPr/>
        <w:tc>
          <w:tcPr>
            <w:tcW w:w="492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b/>
                <w:sz w:val="20"/>
              </w:rPr>
              <w:t>ORAMED PHARMACEUTICALS INC.</w:t>
            </w:r>
            <w:r>
              <w:rPr>
                <w:rFonts w:ascii="Times New Roman;Times;serif" w:hAnsi="Times New Roman;Times;serif"/>
                <w:sz w:val="20"/>
              </w:rPr>
              <w:t>, as collateral agent</w:t>
            </w:r>
          </w:p>
        </w:tc>
        <w:tc>
          <w:tcPr>
            <w:tcW w:w="1595" w:type="dxa"/>
            <w:tcBorders/>
            <w:vAlign w:val="center"/>
          </w:tcPr>
          <w:p>
            <w:pPr>
              <w:pStyle w:val="TableContents"/>
              <w:bidi w:val="0"/>
              <w:spacing w:lineRule="auto" w:line="300" w:before="0" w:after="0"/>
              <w:jc w:val="left"/>
              <w:rPr>
                <w:rFonts w:ascii="Times New Roman;Times;serif" w:hAnsi="Times New Roman;Times;serif"/>
                <w:sz w:val="20"/>
                <w:u w:val="single"/>
              </w:rPr>
            </w:pPr>
            <w:r>
              <w:rPr>
                <w:rFonts w:ascii="Times New Roman;Times;serif" w:hAnsi="Times New Roman;Times;serif"/>
                <w:sz w:val="20"/>
                <w:u w:val="single"/>
              </w:rPr>
              <w:t>Address for Notice:</w:t>
            </w:r>
          </w:p>
        </w:tc>
      </w:tr>
      <w:tr>
        <w:trPr/>
        <w:tc>
          <w:tcPr>
            <w:tcW w:w="4925" w:type="dxa"/>
            <w:tcBorders/>
            <w:vAlign w:val="center"/>
          </w:tcPr>
          <w:p>
            <w:pPr>
              <w:pStyle w:val="TableContents"/>
              <w:bidi w:val="0"/>
              <w:spacing w:before="0" w:after="283"/>
              <w:jc w:val="left"/>
              <w:rPr/>
            </w:pPr>
            <w:r>
              <w:rPr/>
              <w:t> </w:t>
            </w:r>
          </w:p>
        </w:tc>
        <w:tc>
          <w:tcPr>
            <w:tcW w:w="1595" w:type="dxa"/>
            <w:tcBorders/>
            <w:vAlign w:val="center"/>
          </w:tcPr>
          <w:p>
            <w:pPr>
              <w:pStyle w:val="TableContents"/>
              <w:bidi w:val="0"/>
              <w:spacing w:before="0" w:after="283"/>
              <w:jc w:val="left"/>
              <w:rPr/>
            </w:pPr>
            <w:r>
              <w:rPr/>
              <w:t> </w:t>
            </w:r>
          </w:p>
        </w:tc>
      </w:tr>
      <w:tr>
        <w:trPr/>
        <w:tc>
          <w:tcPr>
            <w:tcW w:w="492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By: ___________________________</w:t>
            </w:r>
          </w:p>
          <w:p>
            <w:pPr>
              <w:pStyle w:val="TableContents"/>
              <w:bidi w:val="0"/>
              <w:spacing w:lineRule="auto" w:line="300" w:before="0" w:after="0"/>
              <w:ind w:left="360" w:right="0" w:hanging="0"/>
              <w:jc w:val="left"/>
              <w:rPr>
                <w:rFonts w:ascii="Times New Roman;Times;serif" w:hAnsi="Times New Roman;Times;serif"/>
                <w:sz w:val="20"/>
              </w:rPr>
            </w:pPr>
            <w:r>
              <w:rPr>
                <w:rFonts w:ascii="Times New Roman;Times;serif" w:hAnsi="Times New Roman;Times;serif"/>
                <w:sz w:val="20"/>
              </w:rPr>
              <w:t>Name:</w:t>
            </w:r>
          </w:p>
          <w:p>
            <w:pPr>
              <w:pStyle w:val="TableContents"/>
              <w:bidi w:val="0"/>
              <w:spacing w:lineRule="auto" w:line="300" w:before="0" w:after="0"/>
              <w:ind w:left="360" w:right="0" w:hanging="0"/>
              <w:jc w:val="left"/>
              <w:rPr>
                <w:rFonts w:ascii="Times New Roman;Times;serif" w:hAnsi="Times New Roman;Times;serif"/>
                <w:sz w:val="20"/>
              </w:rPr>
            </w:pPr>
            <w:r>
              <w:rPr>
                <w:rFonts w:ascii="Times New Roman;Times;serif" w:hAnsi="Times New Roman;Times;serif"/>
                <w:sz w:val="20"/>
              </w:rPr>
              <w:t>Title:</w:t>
            </w:r>
          </w:p>
        </w:tc>
        <w:tc>
          <w:tcPr>
            <w:tcW w:w="1595" w:type="dxa"/>
            <w:tcBorders/>
            <w:vAlign w:val="center"/>
          </w:tcPr>
          <w:p>
            <w:pPr>
              <w:pStyle w:val="TableContents"/>
              <w:bidi w:val="0"/>
              <w:spacing w:before="0" w:after="283"/>
              <w:jc w:val="left"/>
              <w:rPr/>
            </w:pPr>
            <w:r>
              <w:rPr/>
              <w:t> </w:t>
            </w:r>
          </w:p>
        </w:tc>
      </w:tr>
    </w:tbl>
    <w:p>
      <w:pPr>
        <w:pStyle w:val="TextBody"/>
        <w:bidi w:val="0"/>
        <w:spacing w:lineRule="auto" w:line="300" w:before="0" w:after="0"/>
        <w:jc w:val="left"/>
        <w:rPr/>
      </w:pPr>
      <w:r>
        <w:rPr/>
      </w:r>
    </w:p>
    <w:p>
      <w:pPr>
        <w:pStyle w:val="HorizontalLine"/>
        <w:pBdr>
          <w:bottom w:val="single" w:sz="12" w:space="0" w:color="808080"/>
        </w:pBdr>
        <w:bidi w:val="0"/>
        <w:spacing w:before="200" w:after="200"/>
        <w:jc w:val="left"/>
        <w:rPr/>
      </w:pPr>
      <w:r>
        <w:rPr/>
      </w:r>
    </w:p>
    <w:p>
      <w:pPr>
        <w:pStyle w:val="TextBody"/>
        <w:bidi w:val="0"/>
        <w:spacing w:lineRule="auto" w:line="300" w:before="0" w:after="0"/>
        <w:jc w:val="center"/>
        <w:rPr>
          <w:rFonts w:ascii="Times New Roman;Times;serif" w:hAnsi="Times New Roman;Times;serif"/>
          <w:color w:val="000000"/>
          <w:sz w:val="20"/>
        </w:rPr>
      </w:pPr>
      <w:r>
        <w:rPr>
          <w:rFonts w:ascii="Times New Roman;Times;serif" w:hAnsi="Times New Roman;Times;serif"/>
          <w:color w:val="000000"/>
          <w:sz w:val="20"/>
        </w:rPr>
        <w:t>[PURCHASER SIGNATURE PAGES TO LFWD SECURITIES PURCHASE AGREEMENT]</w:t>
      </w:r>
    </w:p>
    <w:p>
      <w:pPr>
        <w:pStyle w:val="TextBody"/>
        <w:bidi w:val="0"/>
        <w:spacing w:lineRule="auto" w:line="300" w:before="0" w:after="0"/>
        <w:jc w:val="center"/>
        <w:rPr>
          <w:rFonts w:ascii="Times New Roman;Times;serif" w:hAnsi="Times New Roman;Times;serif"/>
          <w:sz w:val="20"/>
        </w:rPr>
      </w:pPr>
      <w:r>
        <w:rPr>
          <w:rFonts w:ascii="Times New Roman;Times;serif" w:hAnsi="Times New Roman;Times;serif"/>
          <w:sz w:val="20"/>
        </w:rPr>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b/>
          <w:color w:val="000000"/>
          <w:sz w:val="20"/>
        </w:rPr>
        <w:t>IN WITNESS WHEREOF</w:t>
      </w:r>
      <w:r>
        <w:rPr>
          <w:rFonts w:ascii="Times New Roman;Times;serif" w:hAnsi="Times New Roman;Times;serif"/>
          <w:color w:val="000000"/>
          <w:sz w:val="20"/>
        </w:rPr>
        <w:t>, the undersigned have caused this Securities Purchase Agreement to be duly executed by their respective authorized signatories as of the date first indicated above.</w:t>
      </w:r>
    </w:p>
    <w:p>
      <w:pPr>
        <w:pStyle w:val="TextBody"/>
        <w:bidi w:val="0"/>
        <w:spacing w:lineRule="auto" w:line="300" w:before="0" w:after="0"/>
        <w:jc w:val="left"/>
        <w:rPr/>
      </w:pPr>
      <w:r>
        <w:rPr/>
      </w:r>
    </w:p>
    <w:tbl>
      <w:tblPr>
        <w:tblW w:w="1955" w:type="dxa"/>
        <w:jc w:val="left"/>
        <w:tblInd w:w="0" w:type="dxa"/>
        <w:tblLayout w:type="fixed"/>
        <w:tblCellMar>
          <w:top w:w="0" w:type="dxa"/>
          <w:left w:w="0" w:type="dxa"/>
          <w:bottom w:w="0" w:type="dxa"/>
          <w:right w:w="0" w:type="dxa"/>
        </w:tblCellMar>
      </w:tblPr>
      <w:tblGrid>
        <w:gridCol w:w="1895"/>
        <w:gridCol w:w="60"/>
      </w:tblGrid>
      <w:tr>
        <w:trPr/>
        <w:tc>
          <w:tcPr>
            <w:tcW w:w="1895" w:type="dxa"/>
            <w:tcBorders/>
            <w:vAlign w:val="center"/>
          </w:tcPr>
          <w:p>
            <w:pPr>
              <w:pStyle w:val="TableContents"/>
              <w:bidi w:val="0"/>
              <w:spacing w:before="0" w:after="283"/>
              <w:jc w:val="left"/>
              <w:rPr/>
            </w:pPr>
            <w:r>
              <w:rPr/>
              <w:t>Name of Purchaser:</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jc w:val="left"/>
        <w:rPr/>
      </w:pPr>
      <w:r>
        <w:rPr/>
      </w:r>
    </w:p>
    <w:tbl>
      <w:tblPr>
        <w:tblW w:w="4055" w:type="dxa"/>
        <w:jc w:val="left"/>
        <w:tblInd w:w="0" w:type="dxa"/>
        <w:tblLayout w:type="fixed"/>
        <w:tblCellMar>
          <w:top w:w="0" w:type="dxa"/>
          <w:left w:w="0" w:type="dxa"/>
          <w:bottom w:w="0" w:type="dxa"/>
          <w:right w:w="0" w:type="dxa"/>
        </w:tblCellMar>
      </w:tblPr>
      <w:tblGrid>
        <w:gridCol w:w="3995"/>
        <w:gridCol w:w="60"/>
      </w:tblGrid>
      <w:tr>
        <w:trPr/>
        <w:tc>
          <w:tcPr>
            <w:tcW w:w="3995" w:type="dxa"/>
            <w:tcBorders/>
            <w:vAlign w:val="center"/>
          </w:tcPr>
          <w:p>
            <w:pPr>
              <w:pStyle w:val="TableContents"/>
              <w:bidi w:val="0"/>
              <w:spacing w:before="0" w:after="283"/>
              <w:jc w:val="left"/>
              <w:rPr/>
            </w:pPr>
            <w:r>
              <w:rPr>
                <w:rFonts w:ascii="Times New Roman;Times;serif" w:hAnsi="Times New Roman;Times;serif"/>
                <w:i/>
                <w:sz w:val="20"/>
              </w:rPr>
              <w:t>Signature of Authorized Signatory of Purchaser</w:t>
            </w:r>
            <w:r>
              <w:rPr/>
              <w:t>:</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jc w:val="left"/>
        <w:rPr/>
      </w:pPr>
      <w:r>
        <w:rPr/>
      </w:r>
    </w:p>
    <w:tbl>
      <w:tblPr>
        <w:tblW w:w="3065" w:type="dxa"/>
        <w:jc w:val="left"/>
        <w:tblInd w:w="0" w:type="dxa"/>
        <w:tblLayout w:type="fixed"/>
        <w:tblCellMar>
          <w:top w:w="0" w:type="dxa"/>
          <w:left w:w="0" w:type="dxa"/>
          <w:bottom w:w="0" w:type="dxa"/>
          <w:right w:w="0" w:type="dxa"/>
        </w:tblCellMar>
      </w:tblPr>
      <w:tblGrid>
        <w:gridCol w:w="3005"/>
        <w:gridCol w:w="60"/>
      </w:tblGrid>
      <w:tr>
        <w:trPr/>
        <w:tc>
          <w:tcPr>
            <w:tcW w:w="3005" w:type="dxa"/>
            <w:tcBorders/>
            <w:vAlign w:val="center"/>
          </w:tcPr>
          <w:p>
            <w:pPr>
              <w:pStyle w:val="TableContents"/>
              <w:bidi w:val="0"/>
              <w:spacing w:before="0" w:after="283"/>
              <w:jc w:val="left"/>
              <w:rPr/>
            </w:pPr>
            <w:r>
              <w:rPr/>
              <w:t>Name of Authorized Signatory:</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jc w:val="left"/>
        <w:rPr/>
      </w:pPr>
      <w:r>
        <w:rPr/>
      </w:r>
    </w:p>
    <w:tbl>
      <w:tblPr>
        <w:tblW w:w="2930" w:type="dxa"/>
        <w:jc w:val="left"/>
        <w:tblInd w:w="0" w:type="dxa"/>
        <w:tblLayout w:type="fixed"/>
        <w:tblCellMar>
          <w:top w:w="0" w:type="dxa"/>
          <w:left w:w="0" w:type="dxa"/>
          <w:bottom w:w="0" w:type="dxa"/>
          <w:right w:w="0" w:type="dxa"/>
        </w:tblCellMar>
      </w:tblPr>
      <w:tblGrid>
        <w:gridCol w:w="2870"/>
        <w:gridCol w:w="60"/>
      </w:tblGrid>
      <w:tr>
        <w:trPr/>
        <w:tc>
          <w:tcPr>
            <w:tcW w:w="2870" w:type="dxa"/>
            <w:tcBorders/>
            <w:vAlign w:val="center"/>
          </w:tcPr>
          <w:p>
            <w:pPr>
              <w:pStyle w:val="TableContents"/>
              <w:bidi w:val="0"/>
              <w:spacing w:before="0" w:after="283"/>
              <w:jc w:val="left"/>
              <w:rPr/>
            </w:pPr>
            <w:r>
              <w:rPr/>
              <w:t>Title of Authorized Signatory:</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jc w:val="left"/>
        <w:rPr/>
      </w:pPr>
      <w:r>
        <w:rPr/>
      </w:r>
    </w:p>
    <w:tbl>
      <w:tblPr>
        <w:tblW w:w="3890" w:type="dxa"/>
        <w:jc w:val="left"/>
        <w:tblInd w:w="0" w:type="dxa"/>
        <w:tblLayout w:type="fixed"/>
        <w:tblCellMar>
          <w:top w:w="0" w:type="dxa"/>
          <w:left w:w="0" w:type="dxa"/>
          <w:bottom w:w="0" w:type="dxa"/>
          <w:right w:w="0" w:type="dxa"/>
        </w:tblCellMar>
      </w:tblPr>
      <w:tblGrid>
        <w:gridCol w:w="3830"/>
        <w:gridCol w:w="60"/>
      </w:tblGrid>
      <w:tr>
        <w:trPr/>
        <w:tc>
          <w:tcPr>
            <w:tcW w:w="3830" w:type="dxa"/>
            <w:tcBorders/>
            <w:vAlign w:val="center"/>
          </w:tcPr>
          <w:p>
            <w:pPr>
              <w:pStyle w:val="TableContents"/>
              <w:bidi w:val="0"/>
              <w:spacing w:before="0" w:after="283"/>
              <w:jc w:val="left"/>
              <w:rPr/>
            </w:pPr>
            <w:r>
              <w:rPr/>
              <w:t>Email Address of Authorized Signatory:</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bl>
    <w:p>
      <w:pPr>
        <w:pStyle w:val="TextBody"/>
        <w:bidi w:val="0"/>
        <w:spacing w:lineRule="auto" w:line="300"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Address for Notice to Purchaser: </w:t>
      </w:r>
    </w:p>
    <w:p>
      <w:pPr>
        <w:pStyle w:val="TextBody"/>
        <w:bidi w:val="0"/>
        <w:spacing w:lineRule="auto" w:line="300" w:before="0" w:after="0"/>
        <w:jc w:val="left"/>
        <w:rPr/>
      </w:pPr>
      <w:r>
        <w:rPr/>
      </w:r>
    </w:p>
    <w:p>
      <w:pPr>
        <w:pStyle w:val="TextBody"/>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Address for Delivery of Securities to Purchaser (if not same as address for notice):</w:t>
      </w:r>
    </w:p>
    <w:p>
      <w:pPr>
        <w:pStyle w:val="TextBody"/>
        <w:bidi w:val="0"/>
        <w:spacing w:before="0" w:after="0"/>
        <w:jc w:val="left"/>
        <w:rPr/>
      </w:pPr>
      <w:r>
        <w:rPr/>
      </w:r>
    </w:p>
    <w:p>
      <w:pPr>
        <w:pStyle w:val="TextBody"/>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Subscription Amount: $__________________________________</w:t>
      </w:r>
    </w:p>
    <w:p>
      <w:pPr>
        <w:pStyle w:val="TextBody"/>
        <w:bidi w:val="0"/>
        <w:spacing w:lineRule="auto" w:line="300" w:before="0" w:after="0"/>
        <w:jc w:val="left"/>
        <w:rPr/>
      </w:pPr>
      <w:r>
        <w:rPr/>
      </w:r>
    </w:p>
    <w:p>
      <w:pPr>
        <w:pStyle w:val="TextBody"/>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Initial Note Principal Amount: $___________________________</w:t>
      </w:r>
    </w:p>
    <w:p>
      <w:pPr>
        <w:pStyle w:val="TextBody"/>
        <w:bidi w:val="0"/>
        <w:spacing w:lineRule="auto" w:line="300" w:before="0" w:after="0"/>
        <w:jc w:val="left"/>
        <w:rPr/>
      </w:pPr>
      <w:r>
        <w:rPr/>
      </w:r>
    </w:p>
    <w:p>
      <w:pPr>
        <w:pStyle w:val="TextBody"/>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Initial Warrant Shares: ___________________________________</w:t>
      </w:r>
    </w:p>
    <w:p>
      <w:pPr>
        <w:pStyle w:val="TextBody"/>
        <w:bidi w:val="0"/>
        <w:spacing w:lineRule="auto" w:line="300" w:before="0" w:after="0"/>
        <w:jc w:val="left"/>
        <w:rPr/>
      </w:pPr>
      <w:r>
        <w:rPr/>
      </w:r>
    </w:p>
    <w:p>
      <w:pPr>
        <w:pStyle w:val="TextBody"/>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Additional Subscription Amount: $_________________________</w:t>
      </w:r>
    </w:p>
    <w:p>
      <w:pPr>
        <w:pStyle w:val="TextBody"/>
        <w:bidi w:val="0"/>
        <w:spacing w:lineRule="auto" w:line="300" w:before="0" w:after="0"/>
        <w:jc w:val="left"/>
        <w:rPr/>
      </w:pPr>
      <w:r>
        <w:rPr/>
      </w:r>
    </w:p>
    <w:p>
      <w:pPr>
        <w:pStyle w:val="TextBody"/>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Additional Note Principal Amount: $________________________</w:t>
      </w:r>
    </w:p>
    <w:p>
      <w:pPr>
        <w:pStyle w:val="TextBody"/>
        <w:bidi w:val="0"/>
        <w:spacing w:lineRule="auto" w:line="300" w:before="0" w:after="0"/>
        <w:jc w:val="left"/>
        <w:rPr/>
      </w:pPr>
      <w:r>
        <w:rPr/>
      </w:r>
    </w:p>
    <w:p>
      <w:pPr>
        <w:pStyle w:val="TextBody"/>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Additional Warrant Shares: ________________________ ________________________</w:t>
      </w:r>
    </w:p>
    <w:p>
      <w:pPr>
        <w:pStyle w:val="TextBody"/>
        <w:bidi w:val="0"/>
        <w:spacing w:lineRule="auto" w:line="300" w:before="0" w:after="0"/>
        <w:jc w:val="left"/>
        <w:rPr/>
      </w:pPr>
      <w:r>
        <w:rPr/>
      </w:r>
    </w:p>
    <w:p>
      <w:pPr>
        <w:pStyle w:val="TextBody"/>
        <w:bidi w:val="0"/>
        <w:spacing w:lineRule="auto" w:line="300" w:before="0" w:after="0"/>
        <w:jc w:val="center"/>
        <w:rPr>
          <w:rFonts w:ascii="Times New Roman;Times;serif" w:hAnsi="Times New Roman;Times;serif"/>
          <w:color w:val="000000"/>
          <w:sz w:val="20"/>
        </w:rPr>
      </w:pPr>
      <w:r>
        <w:rPr>
          <w:rFonts w:ascii="Times New Roman;Times;serif" w:hAnsi="Times New Roman;Times;serif"/>
          <w:color w:val="000000"/>
          <w:sz w:val="20"/>
        </w:rPr>
        <w:t>[SIGNATURE PAGES CONTINUE]</w:t>
      </w:r>
    </w:p>
    <w:p>
      <w:pPr>
        <w:pStyle w:val="TextBody"/>
        <w:bidi w:val="0"/>
        <w:spacing w:lineRule="auto" w:line="300" w:before="0" w:after="0"/>
        <w:jc w:val="left"/>
        <w:rPr/>
      </w:pPr>
      <w:r>
        <w:rPr/>
      </w:r>
    </w:p>
    <w:p>
      <w:pPr>
        <w:pStyle w:val="HorizontalLine"/>
        <w:pBdr>
          <w:bottom w:val="single" w:sz="12" w:space="0" w:color="808080"/>
        </w:pBdr>
        <w:bidi w:val="0"/>
        <w:spacing w:before="200" w:after="200"/>
        <w:jc w:val="left"/>
        <w:rPr/>
      </w:pPr>
      <w:r>
        <w:rPr/>
      </w:r>
    </w:p>
    <w:p>
      <w:pPr>
        <w:pStyle w:val="TextBody"/>
        <w:bidi w:val="0"/>
        <w:spacing w:lineRule="auto" w:line="300" w:before="0" w:after="0"/>
        <w:jc w:val="center"/>
        <w:rPr>
          <w:rFonts w:ascii="Times New Roman;Times;serif" w:hAnsi="Times New Roman;Times;serif"/>
          <w:b/>
          <w:color w:val="000000"/>
          <w:sz w:val="20"/>
          <w:u w:val="single"/>
        </w:rPr>
      </w:pPr>
      <w:r>
        <w:rPr>
          <w:rFonts w:ascii="Times New Roman;Times;serif" w:hAnsi="Times New Roman;Times;serif"/>
          <w:b/>
          <w:color w:val="000000"/>
          <w:sz w:val="20"/>
          <w:u w:val="single"/>
        </w:rPr>
        <w:t>EXHIBIT A</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Form of Initial Note</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b/>
          <w:color w:val="000000"/>
          <w:sz w:val="20"/>
        </w:rPr>
        <w:t>THE SECURITIES REFERENCED HEREIN HAVE NOT BEEN REGISTERED UNDER THE SECURITIES ACT OF 1933</w:t>
      </w:r>
      <w:r>
        <w:rPr>
          <w:rFonts w:ascii="Times New Roman;Times;serif" w:hAnsi="Times New Roman;Times;serif"/>
          <w:color w:val="000000"/>
          <w:sz w:val="20"/>
        </w:rPr>
        <w:t xml:space="preserve">, </w:t>
      </w:r>
      <w:r>
        <w:rPr>
          <w:rFonts w:ascii="Times New Roman;Times;serif" w:hAnsi="Times New Roman;Times;serif"/>
          <w:b/>
          <w:color w:val="000000"/>
          <w:sz w:val="20"/>
        </w:rPr>
        <w:t>AND HAVE BEEN ACQUIRED FOR INVESTMENT AND NOT WITH A VIEW TO</w:t>
      </w:r>
      <w:r>
        <w:rPr>
          <w:rFonts w:ascii="Times New Roman;Times;serif" w:hAnsi="Times New Roman;Times;serif"/>
          <w:color w:val="000000"/>
          <w:sz w:val="20"/>
        </w:rPr>
        <w:t xml:space="preserve">, </w:t>
      </w:r>
      <w:r>
        <w:rPr>
          <w:rFonts w:ascii="Times New Roman;Times;serif" w:hAnsi="Times New Roman;Times;serif"/>
          <w:b/>
          <w:color w:val="000000"/>
          <w:sz w:val="20"/>
        </w:rPr>
        <w:t>OR IN CONNECTION WITH, THE SALE OR DISTRIBUTION THEREOF</w:t>
      </w:r>
      <w:r>
        <w:rPr>
          <w:rFonts w:ascii="Times New Roman;Times;serif" w:hAnsi="Times New Roman;Times;serif"/>
          <w:color w:val="000000"/>
          <w:sz w:val="20"/>
        </w:rPr>
        <w:t xml:space="preserve">. </w:t>
      </w:r>
      <w:r>
        <w:rPr>
          <w:rFonts w:ascii="Times New Roman;Times;serif" w:hAnsi="Times New Roman;Times;serif"/>
          <w:b/>
          <w:color w:val="000000"/>
          <w:sz w:val="20"/>
        </w:rPr>
        <w:t>NO SUCH SALE OR DISTRIBUTION MAY BE EFFECTED WITHOUT AN EFFECTIVE REGISTRATION STATEMENT RELATED THERETO OR AN OPINION OF COUNSEL IN A FORM SATISFACTORY TO THE COMPANY THAT SUCH REGISTRATION IS NOT REQUIRED UNDER THE SECURITIES ACT OF 1933</w:t>
      </w:r>
      <w:r>
        <w:rPr>
          <w:rFonts w:ascii="Times New Roman;Times;serif" w:hAnsi="Times New Roman;Times;serif"/>
          <w:color w:val="000000"/>
          <w:sz w:val="20"/>
        </w:rPr>
        <w:t>.</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b/>
          <w:color w:val="000000"/>
          <w:sz w:val="20"/>
        </w:rPr>
        <w:t>ANY TRANSFEREE OF THIS NOTE SHOULD CAREFULLY REVIEW THE TERMS OF THIS NOTE</w:t>
      </w:r>
      <w:r>
        <w:rPr>
          <w:rFonts w:ascii="Times New Roman;Times;serif" w:hAnsi="Times New Roman;Times;serif"/>
          <w:color w:val="000000"/>
          <w:sz w:val="20"/>
        </w:rPr>
        <w:t xml:space="preserve">. </w:t>
      </w:r>
      <w:r>
        <w:rPr>
          <w:rFonts w:ascii="Times New Roman;Times;serif" w:hAnsi="Times New Roman;Times;serif"/>
          <w:b/>
          <w:color w:val="000000"/>
          <w:sz w:val="20"/>
        </w:rPr>
        <w:t>THE PRINCIPAL AMOUNT REPRESENTED BY THIS NOTE AND</w:t>
      </w:r>
      <w:r>
        <w:rPr>
          <w:rFonts w:ascii="Times New Roman;Times;serif" w:hAnsi="Times New Roman;Times;serif"/>
          <w:color w:val="000000"/>
          <w:sz w:val="20"/>
        </w:rPr>
        <w:t xml:space="preserve">, </w:t>
      </w:r>
      <w:r>
        <w:rPr>
          <w:rFonts w:ascii="Times New Roman;Times;serif" w:hAnsi="Times New Roman;Times;serif"/>
          <w:b/>
          <w:color w:val="000000"/>
          <w:sz w:val="20"/>
        </w:rPr>
        <w:t>ACCORDINGLY</w:t>
      </w:r>
      <w:r>
        <w:rPr>
          <w:rFonts w:ascii="Times New Roman;Times;serif" w:hAnsi="Times New Roman;Times;serif"/>
          <w:color w:val="000000"/>
          <w:sz w:val="20"/>
        </w:rPr>
        <w:t xml:space="preserve">, </w:t>
      </w:r>
      <w:r>
        <w:rPr>
          <w:rFonts w:ascii="Times New Roman;Times;serif" w:hAnsi="Times New Roman;Times;serif"/>
          <w:b/>
          <w:color w:val="000000"/>
          <w:sz w:val="20"/>
        </w:rPr>
        <w:t>THE SECURITIES ISSUABLE UPON CONVERSION HEREOF MAY BE LESS THAN THE AMOUNTS SET FORTH ON THE FACE HEREOF PURSUANT TO SECTION 4</w:t>
      </w:r>
      <w:r>
        <w:rPr>
          <w:rFonts w:ascii="Times New Roman;Times;serif" w:hAnsi="Times New Roman;Times;serif"/>
          <w:color w:val="000000"/>
          <w:sz w:val="20"/>
        </w:rPr>
        <w:t>(</w:t>
      </w:r>
      <w:r>
        <w:rPr>
          <w:rFonts w:ascii="Times New Roman;Times;serif" w:hAnsi="Times New Roman;Times;serif"/>
          <w:b/>
          <w:color w:val="000000"/>
          <w:sz w:val="20"/>
        </w:rPr>
        <w:t>a</w:t>
      </w:r>
      <w:r>
        <w:rPr>
          <w:rFonts w:ascii="Times New Roman;Times;serif" w:hAnsi="Times New Roman;Times;serif"/>
          <w:color w:val="000000"/>
          <w:sz w:val="20"/>
        </w:rPr>
        <w:t xml:space="preserve">) </w:t>
      </w:r>
      <w:r>
        <w:rPr>
          <w:rFonts w:ascii="Times New Roman;Times;serif" w:hAnsi="Times New Roman;Times;serif"/>
          <w:b/>
          <w:color w:val="000000"/>
          <w:sz w:val="20"/>
        </w:rPr>
        <w:t>OF THIS NOTE</w:t>
      </w:r>
      <w:r>
        <w:rPr>
          <w:rFonts w:ascii="Times New Roman;Times;serif" w:hAnsi="Times New Roman;Times;serif"/>
          <w:color w:val="000000"/>
          <w:sz w:val="20"/>
        </w:rPr>
        <w:t>.</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Original Issue Date: [________]</w:t>
      </w:r>
    </w:p>
    <w:p>
      <w:pPr>
        <w:pStyle w:val="TextBody"/>
        <w:bidi w:val="0"/>
        <w:spacing w:lineRule="auto" w:line="300" w:before="0" w:after="0"/>
        <w:jc w:val="right"/>
        <w:rPr>
          <w:rFonts w:ascii="Times New Roman;Times;serif" w:hAnsi="Times New Roman;Times;serif"/>
          <w:color w:val="000000"/>
          <w:sz w:val="20"/>
        </w:rPr>
      </w:pPr>
      <w:r>
        <w:rPr>
          <w:rFonts w:ascii="Times New Roman;Times;serif" w:hAnsi="Times New Roman;Times;serif"/>
          <w:color w:val="000000"/>
          <w:sz w:val="20"/>
        </w:rPr>
        <w:t>$[  ]</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SENIOR SECURED CONVERTIBLE NOTE</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922"/>
        <w:jc w:val="both"/>
        <w:rPr>
          <w:rFonts w:ascii="Times New Roman;Times;serif" w:hAnsi="Times New Roman;Times;serif"/>
          <w:color w:val="000000"/>
          <w:sz w:val="20"/>
        </w:rPr>
      </w:pPr>
      <w:r>
        <w:rPr>
          <w:rFonts w:ascii="Times New Roman;Times;serif" w:hAnsi="Times New Roman;Times;serif"/>
          <w:color w:val="000000"/>
          <w:sz w:val="20"/>
        </w:rPr>
        <w:t>THIS SENIOR SECURED CONVERTIBLE NOTE is one of a series of duly authorized and validly issued Senior Secured Convertible Notes of Lifeward Ltd., an Israeli company (the “</w:t>
      </w:r>
      <w:r>
        <w:rPr>
          <w:rFonts w:ascii="Times New Roman;Times;serif" w:hAnsi="Times New Roman;Times;serif"/>
          <w:color w:val="000000"/>
          <w:sz w:val="20"/>
          <w:u w:val="single"/>
        </w:rPr>
        <w:t>Company</w:t>
      </w:r>
      <w:r>
        <w:rPr>
          <w:rFonts w:ascii="Times New Roman;Times;serif" w:hAnsi="Times New Roman;Times;serif"/>
          <w:color w:val="000000"/>
          <w:sz w:val="20"/>
        </w:rPr>
        <w:t>”), designated as its Senior Secured Convertible Note (this note, the “</w:t>
      </w:r>
      <w:r>
        <w:rPr>
          <w:rFonts w:ascii="Times New Roman;Times;serif" w:hAnsi="Times New Roman;Times;serif"/>
          <w:color w:val="000000"/>
          <w:sz w:val="20"/>
          <w:u w:val="single"/>
        </w:rPr>
        <w:t>Note</w:t>
      </w:r>
      <w:r>
        <w:rPr>
          <w:rFonts w:ascii="Times New Roman;Times;serif" w:hAnsi="Times New Roman;Times;serif"/>
          <w:color w:val="000000"/>
          <w:sz w:val="20"/>
        </w:rPr>
        <w:t>” and, collectively with the other notes of such series, the “</w:t>
      </w:r>
      <w:r>
        <w:rPr>
          <w:rFonts w:ascii="Times New Roman;Times;serif" w:hAnsi="Times New Roman;Times;serif"/>
          <w:color w:val="000000"/>
          <w:sz w:val="20"/>
          <w:u w:val="single"/>
        </w:rPr>
        <w:t>Notes</w:t>
      </w:r>
      <w:r>
        <w:rPr>
          <w:rFonts w:ascii="Times New Roman;Times;serif" w:hAnsi="Times New Roman;Times;serif"/>
          <w:color w:val="000000"/>
          <w:sz w:val="20"/>
        </w:rPr>
        <w:t>”) and is issued pursuant to the Purchase Agreement (as defined below).</w:t>
      </w:r>
    </w:p>
    <w:p>
      <w:pPr>
        <w:pStyle w:val="TextBody"/>
        <w:bidi w:val="0"/>
        <w:spacing w:lineRule="auto" w:line="300" w:before="0" w:after="0"/>
        <w:jc w:val="left"/>
        <w:rPr>
          <w:color w:val="000000"/>
        </w:rPr>
      </w:pPr>
      <w:r>
        <w:rPr>
          <w:color w:val="000000"/>
        </w:rPr>
        <w:t> </w:t>
      </w:r>
    </w:p>
    <w:p>
      <w:pPr>
        <w:pStyle w:val="TextBody"/>
        <w:bidi w:val="0"/>
        <w:spacing w:lineRule="auto" w:line="24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FOR VALUE RECEIVED, the Company promises to pay to [●] or its registered permitted assigns (the “</w:t>
      </w:r>
      <w:r>
        <w:rPr>
          <w:rFonts w:ascii="Times New Roman;Times;serif" w:hAnsi="Times New Roman;Times;serif"/>
          <w:color w:val="000000"/>
          <w:sz w:val="20"/>
          <w:u w:val="single"/>
        </w:rPr>
        <w:t>Holder</w:t>
      </w:r>
      <w:r>
        <w:rPr>
          <w:rFonts w:ascii="Times New Roman;Times;serif" w:hAnsi="Times New Roman;Times;serif"/>
          <w:color w:val="000000"/>
          <w:sz w:val="20"/>
        </w:rPr>
        <w:t>”), or shall have paid pursuant to the terms hereunder, the principal sum of up to $[  ] on [________]1 (the “</w:t>
      </w:r>
      <w:r>
        <w:rPr>
          <w:rFonts w:ascii="Times New Roman;Times;serif" w:hAnsi="Times New Roman;Times;serif"/>
          <w:color w:val="000000"/>
          <w:sz w:val="20"/>
          <w:u w:val="single"/>
        </w:rPr>
        <w:t>Maturity Date</w:t>
      </w:r>
      <w:r>
        <w:rPr>
          <w:rFonts w:ascii="Times New Roman;Times;serif" w:hAnsi="Times New Roman;Times;serif"/>
          <w:color w:val="000000"/>
          <w:sz w:val="20"/>
        </w:rPr>
        <w:t>”), or such earlier date as this Note is required or permitted to be repaid or converted as provided hereunder; provided, however, that the Maturity Date may be extended by the written mutual consent of the Company and the Holder. On the Maturity Date, the Company promises to pay to the Holder, or shall have paid pursuant to the terms hereunder, any interest to the Holder on the aggregate unconverted and then outstanding principal amount of this Note in accordance with the provisions hereof.  This Note is subject to the following additional provisions: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10"/>
        <w:jc w:val="both"/>
        <w:rPr>
          <w:rFonts w:ascii="Times New Roman;Times;serif" w:hAnsi="Times New Roman;Times;serif"/>
          <w:color w:val="000000"/>
          <w:sz w:val="20"/>
        </w:rPr>
      </w:pPr>
      <w:r>
        <w:rPr>
          <w:rFonts w:ascii="Times New Roman;Times;serif" w:hAnsi="Times New Roman;Times;serif"/>
          <w:color w:val="000000"/>
          <w:sz w:val="20"/>
          <w:u w:val="single"/>
        </w:rPr>
        <w:t>Section 1.</w:t>
      </w:r>
      <w:r>
        <w:rPr>
          <w:rFonts w:ascii="Times New Roman;Times;serif" w:hAnsi="Times New Roman;Times;serif"/>
          <w:color w:val="000000"/>
          <w:sz w:val="20"/>
        </w:rPr>
        <w:t>          </w:t>
      </w:r>
      <w:r>
        <w:rPr>
          <w:rFonts w:ascii="Times New Roman;Times;serif" w:hAnsi="Times New Roman;Times;serif"/>
          <w:color w:val="000000"/>
          <w:sz w:val="20"/>
          <w:u w:val="single"/>
        </w:rPr>
        <w:t>Definitions</w:t>
      </w:r>
      <w:r>
        <w:rPr>
          <w:rFonts w:ascii="Times New Roman;Times;serif" w:hAnsi="Times New Roman;Times;serif"/>
          <w:color w:val="000000"/>
          <w:sz w:val="20"/>
        </w:rPr>
        <w:t>. For the purposes hereof, in addition to the terms defined elsewhere in this Note, (a) capitalized terms not otherwise defined herein shall have the meanings set forth in the Purchase Agreement, and (b) the following terms shall have the following meanings: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color w:val="000000"/>
        </w:rPr>
      </w:pPr>
      <w:r>
        <w:rPr>
          <w:color w:val="000000"/>
        </w:rPr>
        <w:t>“</w:t>
      </w:r>
      <w:r>
        <w:rPr>
          <w:rFonts w:ascii="Times New Roman;Times;serif" w:hAnsi="Times New Roman;Times;serif"/>
          <w:color w:val="000000"/>
          <w:sz w:val="20"/>
          <w:u w:val="single"/>
        </w:rPr>
        <w:t>Additional Existing Notes</w:t>
      </w:r>
      <w:r>
        <w:rPr>
          <w:rFonts w:ascii="Times New Roman;Times;serif" w:hAnsi="Times New Roman;Times;serif"/>
          <w:color w:val="000000"/>
          <w:sz w:val="20"/>
        </w:rPr>
        <w:t>” means any additional senior secured convertible notes issued from time to time pursuant to the Prior SPA in one or more additional closings.</w:t>
      </w:r>
    </w:p>
    <w:p>
      <w:pPr>
        <w:pStyle w:val="TextBody"/>
        <w:bidi w:val="0"/>
        <w:spacing w:lineRule="auto" w:line="300" w:before="0" w:after="0"/>
        <w:jc w:val="left"/>
        <w:rPr/>
      </w:pPr>
      <w:r>
        <w:rPr/>
      </w:r>
    </w:p>
    <w:p>
      <w:pPr>
        <w:pStyle w:val="TextBody"/>
        <w:bidi w:val="0"/>
        <w:spacing w:lineRule="auto" w:line="300" w:before="0" w:after="0"/>
        <w:jc w:val="left"/>
        <w:rPr/>
      </w:pPr>
      <w:r>
        <w:rPr/>
      </w:r>
    </w:p>
    <w:p>
      <w:pPr>
        <w:pStyle w:val="HorizontalLine"/>
        <w:pBdr>
          <w:bottom w:val="single" w:sz="12" w:space="0" w:color="808080"/>
        </w:pBdr>
        <w:bidi w:val="0"/>
        <w:spacing w:lineRule="auto" w:line="300"/>
        <w:jc w:val="left"/>
        <w:rPr/>
      </w:pPr>
      <w:r>
        <w:rPr/>
      </w:r>
    </w:p>
    <w:p>
      <w:pPr>
        <w:pStyle w:val="TextBody"/>
        <w:bidi w:val="0"/>
        <w:spacing w:lineRule="auto" w:line="240" w:before="0" w:after="0"/>
        <w:jc w:val="left"/>
        <w:rPr>
          <w:rFonts w:ascii="Times New Roman;Times;serif" w:hAnsi="Times New Roman;Times;serif"/>
          <w:color w:val="000000"/>
          <w:sz w:val="20"/>
        </w:rPr>
      </w:pPr>
      <w:r>
        <w:rPr>
          <w:rFonts w:ascii="Times New Roman;Times;serif" w:hAnsi="Times New Roman;Times;serif"/>
          <w:color w:val="000000"/>
          <w:sz w:val="20"/>
        </w:rPr>
        <w:t>1 To be the date that is the three (3) year anniversary of the Original Issue Date, provided that, if such date is not a Trading Day, to be the immediately following Trading Day.</w:t>
      </w:r>
    </w:p>
    <w:p>
      <w:pPr>
        <w:pStyle w:val="HorizontalLine"/>
        <w:pBdr>
          <w:bottom w:val="single" w:sz="12" w:space="0" w:color="808080"/>
        </w:pBdr>
        <w:bidi w:val="0"/>
        <w:spacing w:lineRule="auto" w:line="300" w:before="200" w:after="200"/>
        <w:jc w:val="left"/>
        <w:rPr/>
      </w:pPr>
      <w:r>
        <w:rPr/>
      </w:r>
    </w:p>
    <w:p>
      <w:pPr>
        <w:pStyle w:val="TextBody"/>
        <w:bidi w:val="0"/>
        <w:spacing w:lineRule="auto" w:line="300" w:before="0" w:after="0"/>
        <w:ind w:left="720" w:right="0" w:firstLine="720"/>
        <w:jc w:val="both"/>
        <w:rPr>
          <w:rFonts w:ascii="Times New Roman;Times;serif" w:hAnsi="Times New Roman;Times;serif"/>
          <w:sz w:val="20"/>
        </w:rPr>
      </w:pPr>
      <w:r>
        <w:rPr>
          <w:rFonts w:ascii="Times New Roman;Times;serif" w:hAnsi="Times New Roman;Times;serif"/>
          <w:sz w:val="20"/>
        </w:rPr>
      </w:r>
    </w:p>
    <w:p>
      <w:pPr>
        <w:pStyle w:val="TextBody"/>
        <w:bidi w:val="0"/>
        <w:spacing w:lineRule="auto" w:line="300" w:before="0" w:after="0"/>
        <w:ind w:left="720" w:right="0" w:firstLine="720"/>
        <w:jc w:val="both"/>
        <w:rPr>
          <w:color w:val="000000"/>
        </w:rPr>
      </w:pPr>
      <w:r>
        <w:rPr>
          <w:color w:val="000000"/>
        </w:rPr>
        <w:t>“</w:t>
      </w:r>
      <w:r>
        <w:rPr>
          <w:rFonts w:ascii="Times New Roman;Times;serif" w:hAnsi="Times New Roman;Times;serif"/>
          <w:color w:val="000000"/>
          <w:sz w:val="20"/>
          <w:u w:val="single"/>
        </w:rPr>
        <w:t>Bankruptcy Event</w:t>
      </w:r>
      <w:r>
        <w:rPr>
          <w:rFonts w:ascii="Times New Roman;Times;serif" w:hAnsi="Times New Roman;Times;serif"/>
          <w:color w:val="000000"/>
          <w:sz w:val="20"/>
        </w:rPr>
        <w:t>” means any of the following events: (a) the Company or any Subsidiary thereof commences a case or other proceeding under any bankruptcy, reorganization, winding-up, arrangement, adjustment of debt, relief of debtors, dissolution, insolvency, or liquidation or similar law of any jurisdiction relating to the Company or any Subsidiary thereof, (b) there is commenced against the Company or any Subsidiary thereof any such case or proceeding that is not dismissed within 60 days after commencement, (c) the Company or any Subsidiary thereof is adjudicated insolvent or bankrupt or any order of relief or other order approving as properly filed a petition seeking the insolvency, bankruptcy, reorganization, winding-up, arrangement, adjustment of debt, relief of debtors, dissolution, liquidation or any similar proceeding is entered, (d) the Company or any Subsidiary thereof suffers any appointment of any custodian, receiver, liquidator or the like for it or any substantial part of its property that is not discharged or stayed within 60 calendar days after such appointment, (e) the Company or any Subsidiary thereof makes a general assignment for the benefit of creditors, (f) the Company or any Subsidiary thereof calls a meeting of its creditors with a view to arranging a composition, adjustment or restructuring of its debts, (g) the Company or any Subsidiary thereof admits in writing that it is generally unable to pay its debts as they become due, or (h) the Company or any Subsidiary thereof, by any act or failure to act, expressly indicates its consent to, approval of or acquiescence in any of the foregoing or takes any corporate or other action for the purpose of effecting any of the foregoing.</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color w:val="000000"/>
        </w:rPr>
      </w:pPr>
      <w:r>
        <w:rPr>
          <w:color w:val="000000"/>
        </w:rPr>
        <w:t>“</w:t>
      </w:r>
      <w:r>
        <w:rPr>
          <w:rFonts w:ascii="Times New Roman;Times;serif" w:hAnsi="Times New Roman;Times;serif"/>
          <w:color w:val="000000"/>
          <w:sz w:val="20"/>
          <w:u w:val="single"/>
        </w:rPr>
        <w:t>Beneficial Ownership Limitation</w:t>
      </w:r>
      <w:r>
        <w:rPr>
          <w:rFonts w:ascii="Times New Roman;Times;serif" w:hAnsi="Times New Roman;Times;serif"/>
          <w:color w:val="000000"/>
          <w:sz w:val="20"/>
        </w:rPr>
        <w:t>” shall have the meaning set forth in Section 4(d).</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color w:val="000000"/>
        </w:rPr>
      </w:pPr>
      <w:r>
        <w:rPr>
          <w:color w:val="000000"/>
        </w:rPr>
        <w:t>“</w:t>
      </w:r>
      <w:r>
        <w:rPr>
          <w:rFonts w:ascii="Times New Roman;Times;serif" w:hAnsi="Times New Roman;Times;serif"/>
          <w:color w:val="000000"/>
          <w:sz w:val="20"/>
          <w:u w:val="single"/>
        </w:rPr>
        <w:t>Business Day</w:t>
      </w:r>
      <w:r>
        <w:rPr>
          <w:rFonts w:ascii="Times New Roman;Times;serif" w:hAnsi="Times New Roman;Times;serif"/>
          <w:color w:val="000000"/>
          <w:sz w:val="20"/>
        </w:rPr>
        <w:t xml:space="preserve">” means any day other than Saturday, Sunday or other day on which commercial banks in the City of New York are authorized or required by law to remain closed;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however</w:t>
      </w:r>
      <w:r>
        <w:rPr>
          <w:rFonts w:ascii="Times New Roman;Times;serif" w:hAnsi="Times New Roman;Times;serif"/>
          <w:color w:val="000000"/>
          <w:sz w:val="20"/>
        </w:rPr>
        <w:t>, for clarification, commercial banks shall not be deemed to be authorized or required by law to remain closed due to “stay at home”, “shelter-in-place”, “non-essential employee”  or any other similar orders or restrictions or the closure of any physical branch locations at the direction of any governmental authority so long as the electronic funds transfer systems (including for wire transfers) of commercial banks in the City of New York are generally open for use by customers on such day.</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color w:val="000000"/>
        </w:rPr>
      </w:pPr>
      <w:r>
        <w:rPr>
          <w:color w:val="000000"/>
        </w:rPr>
        <w:t>“</w:t>
      </w:r>
      <w:r>
        <w:rPr>
          <w:rFonts w:ascii="Times New Roman;Times;serif" w:hAnsi="Times New Roman;Times;serif"/>
          <w:color w:val="000000"/>
          <w:sz w:val="20"/>
          <w:u w:val="single"/>
        </w:rPr>
        <w:t>Change of Control Transaction</w:t>
      </w:r>
      <w:r>
        <w:rPr>
          <w:rFonts w:ascii="Times New Roman;Times;serif" w:hAnsi="Times New Roman;Times;serif"/>
          <w:color w:val="000000"/>
          <w:sz w:val="20"/>
        </w:rPr>
        <w:t>” means the occurrence after the date hereof of any of (a) an acquisition after the date hereof by an individual or legal entity or “group” (as described in Rule 13d-5(b)(1) promulgated under the Exchange Act) of effective control (whether through legal or beneficial ownership of the share capital of the Company, by contract or otherwise) of in excess of 50% of the voting power of the Company (other than by means of conversion of Existing Notes or exercise of the Existing Warrants), (b) the Company merges into or consolidates with any other Person, or any Person merges into or consolidates with the Company and, after giving effect to such transaction, the shareholders of the Company immediately prior to such transaction own less than 50% of the aggregate voting power of the Company or the successor entity of such transaction, (c) the Company (and all of its Subsidiaries, taken as a whole) sells or transfers all or substantially all of its assets to another Person, (d) a replacement at one time or within a one year period of more than one-half of the members of the Board of Directors which is not approved by a majority of those individuals who are members of the Board of Directors on the Original Issue Date (or by those individuals who are serving as members of the Board of Directors on any date whose nomination to the Board of Directors was approved by a majority of the members of the Board of Directors who are members on the date hereof), or (e) the execution by the Company of an agreement to which the Company is a party or by which it is bound, providing for any of the events set forth in clauses (a) through (d) above.</w:t>
      </w:r>
    </w:p>
    <w:p>
      <w:pPr>
        <w:pStyle w:val="TextBody"/>
        <w:bidi w:val="0"/>
        <w:spacing w:lineRule="auto" w:line="300"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A - 2</w:t>
      </w:r>
    </w:p>
    <w:p>
      <w:pPr>
        <w:pStyle w:val="HorizontalLine"/>
        <w:pBdr>
          <w:bottom w:val="single" w:sz="12" w:space="0" w:color="808080"/>
        </w:pBdr>
        <w:bidi w:val="0"/>
        <w:spacing w:lineRule="auto" w:line="300" w:before="200" w:after="200"/>
        <w:jc w:val="left"/>
        <w:rPr/>
      </w:pPr>
      <w:r>
        <w:rPr/>
      </w:r>
    </w:p>
    <w:p>
      <w:pPr>
        <w:pStyle w:val="TextBody"/>
        <w:bidi w:val="0"/>
        <w:spacing w:lineRule="auto" w:line="300" w:before="0" w:after="0"/>
        <w:ind w:left="720" w:right="0" w:firstLine="720"/>
        <w:jc w:val="both"/>
        <w:rPr>
          <w:color w:val="000000"/>
        </w:rPr>
      </w:pPr>
      <w:r>
        <w:rPr>
          <w:color w:val="000000"/>
        </w:rPr>
        <w:t>“</w:t>
      </w:r>
      <w:r>
        <w:rPr>
          <w:rFonts w:ascii="Times New Roman;Times;serif" w:hAnsi="Times New Roman;Times;serif"/>
          <w:color w:val="000000"/>
          <w:sz w:val="20"/>
          <w:u w:val="single"/>
        </w:rPr>
        <w:t>Collateral</w:t>
      </w:r>
      <w:r>
        <w:rPr>
          <w:rFonts w:ascii="Times New Roman;Times;serif" w:hAnsi="Times New Roman;Times;serif"/>
          <w:color w:val="000000"/>
          <w:sz w:val="20"/>
        </w:rPr>
        <w:t>” shall have the meaning ascribed to such term in the Security Agreement.</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color w:val="000000"/>
        </w:rPr>
      </w:pPr>
      <w:r>
        <w:rPr>
          <w:color w:val="000000"/>
        </w:rPr>
        <w:t>“</w:t>
      </w:r>
      <w:r>
        <w:rPr>
          <w:rFonts w:ascii="Times New Roman;Times;serif" w:hAnsi="Times New Roman;Times;serif"/>
          <w:color w:val="000000"/>
          <w:sz w:val="20"/>
          <w:u w:val="single"/>
        </w:rPr>
        <w:t>Conversion Date</w:t>
      </w:r>
      <w:r>
        <w:rPr>
          <w:rFonts w:ascii="Times New Roman;Times;serif" w:hAnsi="Times New Roman;Times;serif"/>
          <w:color w:val="000000"/>
          <w:sz w:val="20"/>
        </w:rPr>
        <w:t>” shall have the meaning set forth in Section 4(a).</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color w:val="000000"/>
        </w:rPr>
      </w:pPr>
      <w:r>
        <w:rPr>
          <w:color w:val="000000"/>
        </w:rPr>
        <w:t>“</w:t>
      </w:r>
      <w:r>
        <w:rPr>
          <w:rFonts w:ascii="Times New Roman;Times;serif" w:hAnsi="Times New Roman;Times;serif"/>
          <w:color w:val="000000"/>
          <w:sz w:val="20"/>
          <w:u w:val="single"/>
        </w:rPr>
        <w:t>Conversion Price</w:t>
      </w:r>
      <w:r>
        <w:rPr>
          <w:rFonts w:ascii="Times New Roman;Times;serif" w:hAnsi="Times New Roman;Times;serif"/>
          <w:color w:val="000000"/>
          <w:sz w:val="20"/>
        </w:rPr>
        <w:t>” shall have the meaning set forth in Section 4(b).</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color w:val="000000"/>
        </w:rPr>
      </w:pPr>
      <w:r>
        <w:rPr>
          <w:color w:val="000000"/>
        </w:rPr>
        <w:t>“</w:t>
      </w:r>
      <w:r>
        <w:rPr>
          <w:rFonts w:ascii="Times New Roman;Times;serif" w:hAnsi="Times New Roman;Times;serif"/>
          <w:color w:val="000000"/>
          <w:sz w:val="20"/>
          <w:u w:val="single"/>
        </w:rPr>
        <w:t>Conversion Shares</w:t>
      </w:r>
      <w:r>
        <w:rPr>
          <w:rFonts w:ascii="Times New Roman;Times;serif" w:hAnsi="Times New Roman;Times;serif"/>
          <w:color w:val="000000"/>
          <w:sz w:val="20"/>
        </w:rPr>
        <w:t>” means, collectively, Ordinary Shares issuable upon conversion of this Note in accordance with the terms hereof.</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color w:val="000000"/>
        </w:rPr>
      </w:pPr>
      <w:r>
        <w:rPr>
          <w:color w:val="000000"/>
        </w:rPr>
        <w:t>“</w:t>
      </w:r>
      <w:r>
        <w:rPr>
          <w:rFonts w:ascii="Times New Roman;Times;serif" w:hAnsi="Times New Roman;Times;serif"/>
          <w:color w:val="000000"/>
          <w:sz w:val="20"/>
          <w:u w:val="single"/>
        </w:rPr>
        <w:t>Disqualified Stock</w:t>
      </w:r>
      <w:r>
        <w:rPr>
          <w:rFonts w:ascii="Times New Roman;Times;serif" w:hAnsi="Times New Roman;Times;serif"/>
          <w:color w:val="000000"/>
          <w:sz w:val="20"/>
        </w:rPr>
        <w:t>” means, with respect to any person, any equity interests of such person that, by its terms (or by the terms of any security or other equity interests into which it is convertible or exercisable or for which it is exchangeable) or upon the happening of any event or condition (a) matures or is mandatorily redeemable, pursuant to a sinking fund obligation or otherwise, (b) is redeemable at the option of the holder thereof, in whole or in part, (c) provides for the scheduled payments of dividends in cash, or (d) is or becomes convertible or exercisable into or exchangeable for Indebtedness or any other equity interests that would constitute Disqualified Stock.</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color w:val="000000"/>
        </w:rPr>
      </w:pPr>
      <w:r>
        <w:rPr>
          <w:color w:val="000000"/>
        </w:rPr>
        <w:t>“</w:t>
      </w:r>
      <w:r>
        <w:rPr>
          <w:rFonts w:ascii="Times New Roman;Times;serif" w:hAnsi="Times New Roman;Times;serif"/>
          <w:color w:val="000000"/>
          <w:sz w:val="20"/>
          <w:u w:val="single"/>
        </w:rPr>
        <w:t>Event of Default</w:t>
      </w:r>
      <w:r>
        <w:rPr>
          <w:rFonts w:ascii="Times New Roman;Times;serif" w:hAnsi="Times New Roman;Times;serif"/>
          <w:color w:val="000000"/>
          <w:sz w:val="20"/>
        </w:rPr>
        <w:t>” shall have the meaning set forth in Section 8(a).</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color w:val="000000"/>
        </w:rPr>
      </w:pPr>
      <w:r>
        <w:rPr>
          <w:color w:val="000000"/>
        </w:rPr>
        <w:t>“</w:t>
      </w:r>
      <w:r>
        <w:rPr>
          <w:rFonts w:ascii="Times New Roman;Times;serif" w:hAnsi="Times New Roman;Times;serif"/>
          <w:color w:val="000000"/>
          <w:sz w:val="20"/>
          <w:u w:val="single"/>
        </w:rPr>
        <w:t>Existing Initial Notes</w:t>
      </w:r>
      <w:r>
        <w:rPr>
          <w:rFonts w:ascii="Times New Roman;Times;serif" w:hAnsi="Times New Roman;Times;serif"/>
          <w:color w:val="000000"/>
          <w:sz w:val="20"/>
        </w:rPr>
        <w:t>” means those certain Senior Secured Convertible Notes, issued by the Company pursuant to that certain Securities Purchase Agreement, dated as of January 12, 2026, between the Company and the purchasers party thereto (“</w:t>
      </w:r>
      <w:r>
        <w:rPr>
          <w:rFonts w:ascii="Times New Roman;Times;serif" w:hAnsi="Times New Roman;Times;serif"/>
          <w:color w:val="000000"/>
          <w:sz w:val="20"/>
          <w:u w:val="single"/>
        </w:rPr>
        <w:t>Prior SPA</w:t>
      </w:r>
      <w:r>
        <w:rPr>
          <w:rFonts w:ascii="Times New Roman;Times;serif" w:hAnsi="Times New Roman;Times;serif"/>
          <w:color w:val="000000"/>
          <w:sz w:val="20"/>
        </w:rPr>
        <w:t>”).</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color w:val="000000"/>
        </w:rPr>
      </w:pPr>
      <w:r>
        <w:rPr>
          <w:color w:val="000000"/>
        </w:rPr>
        <w:t>“</w:t>
      </w:r>
      <w:r>
        <w:rPr>
          <w:rFonts w:ascii="Times New Roman;Times;serif" w:hAnsi="Times New Roman;Times;serif"/>
          <w:color w:val="000000"/>
          <w:sz w:val="20"/>
          <w:u w:val="single"/>
        </w:rPr>
        <w:t>Existing Notes</w:t>
      </w:r>
      <w:r>
        <w:rPr>
          <w:rFonts w:ascii="Times New Roman;Times;serif" w:hAnsi="Times New Roman;Times;serif"/>
          <w:color w:val="000000"/>
          <w:sz w:val="20"/>
        </w:rPr>
        <w:t>” means, collectively: (i) the Existing Initial Notes and (ii) any Additional Existing Notes.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color w:val="000000"/>
        </w:rPr>
      </w:pPr>
      <w:r>
        <w:rPr>
          <w:color w:val="000000"/>
        </w:rPr>
        <w:t>“</w:t>
      </w:r>
      <w:r>
        <w:rPr>
          <w:rFonts w:ascii="Times New Roman;Times;serif" w:hAnsi="Times New Roman;Times;serif"/>
          <w:color w:val="000000"/>
          <w:sz w:val="20"/>
          <w:u w:val="single"/>
        </w:rPr>
        <w:t>Existing Warrants</w:t>
      </w:r>
      <w:r>
        <w:rPr>
          <w:rFonts w:ascii="Times New Roman;Times;serif" w:hAnsi="Times New Roman;Times;serif"/>
          <w:color w:val="000000"/>
          <w:sz w:val="20"/>
        </w:rPr>
        <w:t>” means, collectively: (i) those certain common stock purchase warrants issued by the Company pursuant to the Prior SPA and (ii) any additional ordinary share purchase warrants issued from time to time pursuant to the Prior SPA in one or more additional closings.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color w:val="000000"/>
        </w:rPr>
      </w:pPr>
      <w:r>
        <w:rPr>
          <w:color w:val="000000"/>
        </w:rPr>
        <w:t>“</w:t>
      </w:r>
      <w:r>
        <w:rPr>
          <w:rFonts w:ascii="Times New Roman;Times;serif" w:hAnsi="Times New Roman;Times;serif"/>
          <w:color w:val="000000"/>
          <w:sz w:val="20"/>
          <w:u w:val="single"/>
        </w:rPr>
        <w:t>Indebtedness</w:t>
      </w:r>
      <w:r>
        <w:rPr>
          <w:rFonts w:ascii="Times New Roman;Times;serif" w:hAnsi="Times New Roman;Times;serif"/>
          <w:color w:val="000000"/>
          <w:sz w:val="20"/>
        </w:rPr>
        <w:t>” of a Person shall include (a) all obligations for borrowed money or the deferred purchase price of property or services (excluding trade accounts payable incurred in the ordinary course of business), (b) all obligations evidenced by bonds, debentures, notes, or other similar instruments and all reimbursement or other obligations in respect of letters of credit, surety bonds, bankers acceptances, current swap agreements, interest rate hedging agreements, interest rate swaps or other financial products, (c) all capital lease obligations (as determined in accordance with GAAP, subject, to the proviso set forth in the definition of GAAP under the Purchase Agreement), (d) all obligations or liabilities secured by a Lien on any asset of such Person, irrespective of whether such obligation or liability is assumed by such Person (limited to the lesser of (x) the outstanding principal amount of such obligations or liabilities and (y) the fair market value of such asset), (e) any obligation arising with respect to any other transaction that is the functional equivalent of borrowing but which does not constitute a liability on the balance sheets of such Person, (f) Disqualified Stock, and (g) any obligation guaranteeing or intended to guarantee (whether directly or indirectly guaranteed, endorsed, co-made, discounted or sold with recourse) any of the foregoing obligations of any other Person.</w:t>
      </w:r>
    </w:p>
    <w:p>
      <w:pPr>
        <w:pStyle w:val="TextBody"/>
        <w:bidi w:val="0"/>
        <w:spacing w:lineRule="auto" w:line="300"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A - 3</w:t>
      </w:r>
    </w:p>
    <w:p>
      <w:pPr>
        <w:pStyle w:val="HorizontalLine"/>
        <w:pBdr>
          <w:bottom w:val="single" w:sz="12" w:space="0" w:color="808080"/>
        </w:pBdr>
        <w:bidi w:val="0"/>
        <w:spacing w:lineRule="auto" w:line="300" w:before="200" w:after="200"/>
        <w:jc w:val="left"/>
        <w:rPr/>
      </w:pPr>
      <w:r>
        <w:rPr/>
      </w:r>
    </w:p>
    <w:p>
      <w:pPr>
        <w:pStyle w:val="TextBody"/>
        <w:bidi w:val="0"/>
        <w:spacing w:lineRule="auto" w:line="300" w:before="0" w:after="0"/>
        <w:ind w:left="720" w:right="0" w:firstLine="720"/>
        <w:jc w:val="both"/>
        <w:rPr>
          <w:color w:val="000000"/>
        </w:rPr>
      </w:pPr>
      <w:r>
        <w:rPr>
          <w:color w:val="000000"/>
        </w:rPr>
        <w:t>“</w:t>
      </w:r>
      <w:r>
        <w:rPr>
          <w:rFonts w:ascii="Times New Roman;Times;serif" w:hAnsi="Times New Roman;Times;serif"/>
          <w:color w:val="000000"/>
          <w:sz w:val="20"/>
          <w:u w:val="single"/>
        </w:rPr>
        <w:t>Interest Accrual Date</w:t>
      </w:r>
      <w:r>
        <w:rPr>
          <w:rFonts w:ascii="Times New Roman;Times;serif" w:hAnsi="Times New Roman;Times;serif"/>
          <w:color w:val="000000"/>
          <w:sz w:val="20"/>
        </w:rPr>
        <w:t>” shall have the meaning set forth in Section 8(b).</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color w:val="000000"/>
        </w:rPr>
      </w:pPr>
      <w:r>
        <w:rPr>
          <w:color w:val="000000"/>
        </w:rPr>
        <w:t>“</w:t>
      </w:r>
      <w:r>
        <w:rPr>
          <w:rFonts w:ascii="Times New Roman;Times;serif" w:hAnsi="Times New Roman;Times;serif"/>
          <w:color w:val="000000"/>
          <w:sz w:val="20"/>
          <w:u w:val="single"/>
        </w:rPr>
        <w:t>Interest Payment Date</w:t>
      </w:r>
      <w:r>
        <w:rPr>
          <w:rFonts w:ascii="Times New Roman;Times;serif" w:hAnsi="Times New Roman;Times;serif"/>
          <w:color w:val="000000"/>
          <w:sz w:val="20"/>
        </w:rPr>
        <w:t>” shall have the meaning set forth in Section 2(a).</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color w:val="000000"/>
        </w:rPr>
      </w:pPr>
      <w:r>
        <w:rPr>
          <w:color w:val="000000"/>
        </w:rPr>
        <w:t>“</w:t>
      </w:r>
      <w:r>
        <w:rPr>
          <w:rFonts w:ascii="Times New Roman;Times;serif" w:hAnsi="Times New Roman;Times;serif"/>
          <w:color w:val="000000"/>
          <w:sz w:val="20"/>
          <w:u w:val="single"/>
        </w:rPr>
        <w:t>Investments</w:t>
      </w:r>
      <w:r>
        <w:rPr>
          <w:rFonts w:ascii="Times New Roman;Times;serif" w:hAnsi="Times New Roman;Times;serif"/>
          <w:color w:val="000000"/>
          <w:sz w:val="20"/>
        </w:rPr>
        <w:t>” means, as to any Person, any direct or indirect acquisition or investment by such Person by means of (a) the purchase or other acquisition (including by merger) of equity interests of another Person, (b) a loan, advance or capital contribution to, guarantee or assumption of debt of, or purchase or other acquisition of any other debt or interest in, another Person, or (c) the purchase or other acquisition (in one transaction or a series of transactions) of assets of another Person that constitute a business unit or all or a substantial part of the business of, such Person.</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color w:val="000000"/>
        </w:rPr>
      </w:pPr>
      <w:r>
        <w:rPr>
          <w:color w:val="000000"/>
        </w:rPr>
        <w:t>“</w:t>
      </w:r>
      <w:r>
        <w:rPr>
          <w:rFonts w:ascii="Times New Roman;Times;serif" w:hAnsi="Times New Roman;Times;serif"/>
          <w:color w:val="000000"/>
          <w:sz w:val="20"/>
          <w:u w:val="single"/>
        </w:rPr>
        <w:t>Late Fees</w:t>
      </w:r>
      <w:r>
        <w:rPr>
          <w:rFonts w:ascii="Times New Roman;Times;serif" w:hAnsi="Times New Roman;Times;serif"/>
          <w:color w:val="000000"/>
          <w:sz w:val="20"/>
        </w:rPr>
        <w:t>” shall have the meaning set forth in Section 2(c).</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color w:val="000000"/>
        </w:rPr>
      </w:pPr>
      <w:r>
        <w:rPr>
          <w:color w:val="000000"/>
        </w:rPr>
        <w:t>“</w:t>
      </w:r>
      <w:r>
        <w:rPr>
          <w:rFonts w:ascii="Times New Roman;Times;serif" w:hAnsi="Times New Roman;Times;serif"/>
          <w:color w:val="000000"/>
          <w:sz w:val="20"/>
          <w:u w:val="single"/>
        </w:rPr>
        <w:t>New York Courts</w:t>
      </w:r>
      <w:r>
        <w:rPr>
          <w:rFonts w:ascii="Times New Roman;Times;serif" w:hAnsi="Times New Roman;Times;serif"/>
          <w:color w:val="000000"/>
          <w:sz w:val="20"/>
        </w:rPr>
        <w:t>” shall have the meaning set forth in Section 10(d).</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color w:val="000000"/>
        </w:rPr>
      </w:pPr>
      <w:r>
        <w:rPr>
          <w:color w:val="000000"/>
        </w:rPr>
        <w:t>“</w:t>
      </w:r>
      <w:r>
        <w:rPr>
          <w:rFonts w:ascii="Times New Roman;Times;serif" w:hAnsi="Times New Roman;Times;serif"/>
          <w:color w:val="000000"/>
          <w:sz w:val="20"/>
          <w:u w:val="single"/>
        </w:rPr>
        <w:t>Note Register</w:t>
      </w:r>
      <w:r>
        <w:rPr>
          <w:rFonts w:ascii="Times New Roman;Times;serif" w:hAnsi="Times New Roman;Times;serif"/>
          <w:color w:val="000000"/>
          <w:sz w:val="20"/>
        </w:rPr>
        <w:t>” shall have the meaning set forth in Section 2(b).</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color w:val="000000"/>
        </w:rPr>
      </w:pPr>
      <w:r>
        <w:rPr>
          <w:color w:val="000000"/>
        </w:rPr>
        <w:t>“</w:t>
      </w:r>
      <w:r>
        <w:rPr>
          <w:rFonts w:ascii="Times New Roman;Times;serif" w:hAnsi="Times New Roman;Times;serif"/>
          <w:color w:val="000000"/>
          <w:sz w:val="20"/>
          <w:u w:val="single"/>
        </w:rPr>
        <w:t>Notice of Conversion</w:t>
      </w:r>
      <w:r>
        <w:rPr>
          <w:rFonts w:ascii="Times New Roman;Times;serif" w:hAnsi="Times New Roman;Times;serif"/>
          <w:color w:val="000000"/>
          <w:sz w:val="20"/>
        </w:rPr>
        <w:t>” shall have the meaning set forth in Section 4(a).</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color w:val="000000"/>
        </w:rPr>
      </w:pPr>
      <w:r>
        <w:rPr>
          <w:color w:val="000000"/>
        </w:rPr>
        <w:t>“</w:t>
      </w:r>
      <w:r>
        <w:rPr>
          <w:rFonts w:ascii="Times New Roman;Times;serif" w:hAnsi="Times New Roman;Times;serif"/>
          <w:color w:val="000000"/>
          <w:sz w:val="20"/>
          <w:u w:val="single"/>
        </w:rPr>
        <w:t>Original Issue Date</w:t>
      </w:r>
      <w:r>
        <w:rPr>
          <w:rFonts w:ascii="Times New Roman;Times;serif" w:hAnsi="Times New Roman;Times;serif"/>
          <w:color w:val="000000"/>
          <w:sz w:val="20"/>
        </w:rPr>
        <w:t>” means the date of the first issuance of the Notes, regardless of any transfers of any Note and regardless of the number of instruments which may be issued to evidence such Notes.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color w:val="000000"/>
        </w:rPr>
      </w:pPr>
      <w:r>
        <w:rPr>
          <w:color w:val="000000"/>
        </w:rPr>
        <w:t>“</w:t>
      </w:r>
      <w:r>
        <w:rPr>
          <w:rFonts w:ascii="Times New Roman;Times;serif" w:hAnsi="Times New Roman;Times;serif"/>
          <w:color w:val="000000"/>
          <w:sz w:val="20"/>
          <w:u w:val="single"/>
        </w:rPr>
        <w:t>Permitted Indebtedness</w:t>
      </w:r>
      <w:r>
        <w:rPr>
          <w:rFonts w:ascii="Times New Roman;Times;serif" w:hAnsi="Times New Roman;Times;serif"/>
          <w:color w:val="000000"/>
          <w:sz w:val="20"/>
        </w:rPr>
        <w:t xml:space="preserve">” means (a) the Indebtedness evidenced by the Notes, (b) the Indebtedness existing on the Original Issue Date and disclosed to the Holder prior to the date hereof (including any Indebtedness set forth in the SEC Reports), (c) capital lease obligations and purchase money indebtedness of up to $500,000, in the aggregate, incurred in connection with the acquisition of capital assets and lease obligations with respect to newly acquired or leased assets (subject, in each case, to the proviso set forth in the definition of GAAP under the Purchase Agreement), (d) other unsecured Indebtedness not exceeding $500,000 in aggregate principal amount outstanding, (e) Indebtedness that (1) is expressly subordinate to the Notes pursuant to a written subordination agreement with the Purchasers that is acceptable to each Purchaser in its reasonable discretion and (2) matures at a date on or after the Maturity Date, (f) other unsecured Indebtedness incurred in the ordinary course of business, (g) any Indebtedness in which the proceeds from such Indebtedness are used to repay the outstanding principal amount of this Note (plus, if applicable, the accrued and unpaid interest thereon and costs, fees and expenses incurred in connection therewith), (h) Indebtedness evidenced by the Existing Notes or any Additional Notes, (i) Indebtedness incurred in the ordinary course of business in connection with any equipment financing or working capital facilities, which is subordinate to the Indebtedness existing or arising under this Note and the other Transaction Documents pursuant to a subordination agreement acceptable to the Agent in its sole discretion, not to exceed $500,000,000 in the aggregate at any time, (j) Indebtedness incurred in the ordinary course of business in respect of netting services, overdraft protections, automatic clearinghouse arrangements, and other cash management and similar arrangements, (k) Indebtedness to carriers, warehousemen, mechanics, and materialmen, in each case arising in the ordinary course of business, for sums not yet due and payable or, if due and payable, those being contested in good faith by appropriate proceedings and for which appropriate reserves are maintained in accordance with GAAP, (l) guaranties by the Company or a Subsidiary of Permitted Indebtedness incurred by the Company or a Subsidiary;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any such guaranty shall be subordinated to the obligations under the Transaction Documents to the same extent and on the same terms and conditions as the Indebtedness guaranteed has been subordinated to the obligations under the Transaction Documents and (m) extensions, refinancings and renewals of any items of Permitted Indebtedness, </w:t>
      </w:r>
      <w:r>
        <w:rPr>
          <w:rFonts w:ascii="Times New Roman;Times;serif" w:hAnsi="Times New Roman;Times;serif"/>
          <w:color w:val="000000"/>
          <w:sz w:val="20"/>
          <w:u w:val="single"/>
        </w:rPr>
        <w:t>provided</w:t>
      </w:r>
      <w:r>
        <w:rPr>
          <w:rFonts w:ascii="Times New Roman;Times;serif" w:hAnsi="Times New Roman;Times;serif"/>
          <w:color w:val="000000"/>
          <w:sz w:val="20"/>
        </w:rPr>
        <w:t> </w:t>
      </w:r>
      <w:r>
        <w:rPr>
          <w:rFonts w:ascii="Times New Roman;Times;serif" w:hAnsi="Times New Roman;Times;serif"/>
          <w:color w:val="000000"/>
          <w:sz w:val="20"/>
          <w:u w:val="single"/>
        </w:rPr>
        <w:t>that</w:t>
      </w:r>
      <w:r>
        <w:rPr>
          <w:rFonts w:ascii="Times New Roman;Times;serif" w:hAnsi="Times New Roman;Times;serif"/>
          <w:color w:val="000000"/>
          <w:sz w:val="20"/>
        </w:rPr>
        <w:t xml:space="preserve"> the principal amount is not increased or the terms modified to impose more burdensome terms upon the Company or its Subsidiary, as the case may be, and subject to any applicable limitations on the aggregate amount of such Permitted Indebtedness.</w:t>
      </w:r>
    </w:p>
    <w:p>
      <w:pPr>
        <w:pStyle w:val="TextBody"/>
        <w:bidi w:val="0"/>
        <w:spacing w:lineRule="auto" w:line="300"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A - 4</w:t>
      </w:r>
    </w:p>
    <w:p>
      <w:pPr>
        <w:pStyle w:val="HorizontalLine"/>
        <w:pBdr>
          <w:bottom w:val="single" w:sz="12" w:space="0" w:color="808080"/>
        </w:pBdr>
        <w:bidi w:val="0"/>
        <w:spacing w:lineRule="auto" w:line="300" w:before="200" w:after="200"/>
        <w:jc w:val="left"/>
        <w:rPr/>
      </w:pPr>
      <w:r>
        <w:rPr/>
      </w:r>
    </w:p>
    <w:p>
      <w:pPr>
        <w:pStyle w:val="TextBody"/>
        <w:bidi w:val="0"/>
        <w:spacing w:lineRule="auto" w:line="300" w:before="0" w:after="0"/>
        <w:ind w:left="720" w:right="0" w:firstLine="720"/>
        <w:jc w:val="both"/>
        <w:rPr>
          <w:color w:val="000000"/>
        </w:rPr>
      </w:pPr>
      <w:r>
        <w:rPr>
          <w:color w:val="000000"/>
        </w:rPr>
        <w:t>“</w:t>
      </w:r>
      <w:r>
        <w:rPr>
          <w:rFonts w:ascii="Times New Roman;Times;serif" w:hAnsi="Times New Roman;Times;serif"/>
          <w:color w:val="000000"/>
          <w:sz w:val="20"/>
          <w:u w:val="single"/>
        </w:rPr>
        <w:t>Permitted Lien</w:t>
      </w:r>
      <w:r>
        <w:rPr>
          <w:rFonts w:ascii="Times New Roman;Times;serif" w:hAnsi="Times New Roman;Times;serif"/>
          <w:color w:val="000000"/>
          <w:sz w:val="20"/>
        </w:rPr>
        <w:t xml:space="preserve">” means the individual and collective reference to the following: (a) Liens for taxes, assessments and other governmental charges or levies not yet due or Liens for taxes, assessments and other governmental charges or levies being contested in good faith and by appropriate proceedings for which adequate reserves (in the good faith judgment of the management of the Company) have been established in accordance with GAAP, (b) Liens imposed by law which were incurred in the ordinary course of the Company’s business, such as carriers’, warehousemen’s and mechanics’ Liens, statutory landlords’ Liens, and other similar Liens arising in the ordinary course of the Company’s business, and which (x) do not individually or in the aggregate materially detract from the value of such property or assets or materially impair the use thereof in the operation of the business of the Company and its consolidated Subsidiaries or (y) are being contested in good faith by appropriate proceedings, which proceedings have the effect of preventing for the foreseeable future the forfeiture or sale of the property or asset subject to such Lien, (c) Liens incurred in connection with Permitted Indebtedness under </w:t>
      </w:r>
      <w:r>
        <w:rPr>
          <w:rFonts w:ascii="Times New Roman;Times;serif" w:hAnsi="Times New Roman;Times;serif"/>
          <w:color w:val="000000"/>
          <w:sz w:val="20"/>
          <w:u w:val="single"/>
        </w:rPr>
        <w:t>clauses (a</w:t>
      </w:r>
      <w:r>
        <w:rPr>
          <w:rFonts w:ascii="Times New Roman;Times;serif" w:hAnsi="Times New Roman;Times;serif"/>
          <w:color w:val="000000"/>
          <w:sz w:val="20"/>
        </w:rPr>
        <w:t>), (</w:t>
      </w:r>
      <w:r>
        <w:rPr>
          <w:rFonts w:ascii="Times New Roman;Times;serif" w:hAnsi="Times New Roman;Times;serif"/>
          <w:color w:val="000000"/>
          <w:sz w:val="20"/>
          <w:u w:val="single"/>
        </w:rPr>
        <w:t>b</w:t>
      </w:r>
      <w:r>
        <w:rPr>
          <w:rFonts w:ascii="Times New Roman;Times;serif" w:hAnsi="Times New Roman;Times;serif"/>
          <w:color w:val="000000"/>
          <w:sz w:val="20"/>
        </w:rPr>
        <w:t>), (</w:t>
      </w:r>
      <w:r>
        <w:rPr>
          <w:rFonts w:ascii="Times New Roman;Times;serif" w:hAnsi="Times New Roman;Times;serif"/>
          <w:color w:val="000000"/>
          <w:sz w:val="20"/>
          <w:u w:val="single"/>
        </w:rPr>
        <w:t>d</w:t>
      </w:r>
      <w:r>
        <w:rPr>
          <w:rFonts w:ascii="Times New Roman;Times;serif" w:hAnsi="Times New Roman;Times;serif"/>
          <w:color w:val="000000"/>
          <w:sz w:val="20"/>
        </w:rPr>
        <w:t>), (</w:t>
      </w:r>
      <w:r>
        <w:rPr>
          <w:rFonts w:ascii="Times New Roman;Times;serif" w:hAnsi="Times New Roman;Times;serif"/>
          <w:color w:val="000000"/>
          <w:sz w:val="20"/>
          <w:u w:val="single"/>
        </w:rPr>
        <w:t>e</w:t>
      </w:r>
      <w:r>
        <w:rPr>
          <w:rFonts w:ascii="Times New Roman;Times;serif" w:hAnsi="Times New Roman;Times;serif"/>
          <w:color w:val="000000"/>
          <w:sz w:val="20"/>
        </w:rPr>
        <w:t>), (</w:t>
      </w:r>
      <w:r>
        <w:rPr>
          <w:rFonts w:ascii="Times New Roman;Times;serif" w:hAnsi="Times New Roman;Times;serif"/>
          <w:color w:val="000000"/>
          <w:sz w:val="20"/>
          <w:u w:val="single"/>
        </w:rPr>
        <w:t>g</w:t>
      </w:r>
      <w:r>
        <w:rPr>
          <w:rFonts w:ascii="Times New Roman;Times;serif" w:hAnsi="Times New Roman;Times;serif"/>
          <w:color w:val="000000"/>
          <w:sz w:val="20"/>
        </w:rPr>
        <w:t>), (</w:t>
      </w:r>
      <w:r>
        <w:rPr>
          <w:rFonts w:ascii="Times New Roman;Times;serif" w:hAnsi="Times New Roman;Times;serif"/>
          <w:color w:val="000000"/>
          <w:sz w:val="20"/>
          <w:u w:val="single"/>
        </w:rPr>
        <w:t>h</w:t>
      </w:r>
      <w:r>
        <w:rPr>
          <w:rFonts w:ascii="Times New Roman;Times;serif" w:hAnsi="Times New Roman;Times;serif"/>
          <w:color w:val="000000"/>
          <w:sz w:val="20"/>
        </w:rPr>
        <w:t>), (</w:t>
      </w:r>
      <w:r>
        <w:rPr>
          <w:rFonts w:ascii="Times New Roman;Times;serif" w:hAnsi="Times New Roman;Times;serif"/>
          <w:color w:val="000000"/>
          <w:sz w:val="20"/>
          <w:u w:val="single"/>
        </w:rPr>
        <w:t>i</w:t>
      </w:r>
      <w:r>
        <w:rPr>
          <w:rFonts w:ascii="Times New Roman;Times;serif" w:hAnsi="Times New Roman;Times;serif"/>
          <w:color w:val="000000"/>
          <w:sz w:val="20"/>
        </w:rPr>
        <w:t>), (</w:t>
      </w:r>
      <w:r>
        <w:rPr>
          <w:rFonts w:ascii="Times New Roman;Times;serif" w:hAnsi="Times New Roman;Times;serif"/>
          <w:color w:val="000000"/>
          <w:sz w:val="20"/>
          <w:u w:val="single"/>
        </w:rPr>
        <w:t>j</w:t>
      </w:r>
      <w:r>
        <w:rPr>
          <w:rFonts w:ascii="Times New Roman;Times;serif" w:hAnsi="Times New Roman;Times;serif"/>
          <w:color w:val="000000"/>
          <w:sz w:val="20"/>
        </w:rPr>
        <w:t>), (</w:t>
      </w:r>
      <w:r>
        <w:rPr>
          <w:rFonts w:ascii="Times New Roman;Times;serif" w:hAnsi="Times New Roman;Times;serif"/>
          <w:color w:val="000000"/>
          <w:sz w:val="20"/>
          <w:u w:val="single"/>
        </w:rPr>
        <w:t>k</w:t>
      </w:r>
      <w:r>
        <w:rPr>
          <w:rFonts w:ascii="Times New Roman;Times;serif" w:hAnsi="Times New Roman;Times;serif"/>
          <w:color w:val="000000"/>
          <w:sz w:val="20"/>
        </w:rPr>
        <w:t>), (</w:t>
      </w:r>
      <w:r>
        <w:rPr>
          <w:rFonts w:ascii="Times New Roman;Times;serif" w:hAnsi="Times New Roman;Times;serif"/>
          <w:color w:val="000000"/>
          <w:sz w:val="20"/>
          <w:u w:val="single"/>
        </w:rPr>
        <w:t>l</w:t>
      </w:r>
      <w:r>
        <w:rPr>
          <w:rFonts w:ascii="Times New Roman;Times;serif" w:hAnsi="Times New Roman;Times;serif"/>
          <w:color w:val="000000"/>
          <w:sz w:val="20"/>
        </w:rPr>
        <w:t>) and (</w:t>
      </w:r>
      <w:r>
        <w:rPr>
          <w:rFonts w:ascii="Times New Roman;Times;serif" w:hAnsi="Times New Roman;Times;serif"/>
          <w:color w:val="000000"/>
          <w:sz w:val="20"/>
          <w:u w:val="single"/>
        </w:rPr>
        <w:t>m</w:t>
      </w:r>
      <w:r>
        <w:rPr>
          <w:rFonts w:ascii="Times New Roman;Times;serif" w:hAnsi="Times New Roman;Times;serif"/>
          <w:color w:val="000000"/>
          <w:sz w:val="20"/>
        </w:rPr>
        <w:t xml:space="preserve">) thereunder, (d) Liens incurred in connection with Permitted Indebtedness under </w:t>
      </w:r>
      <w:r>
        <w:rPr>
          <w:rFonts w:ascii="Times New Roman;Times;serif" w:hAnsi="Times New Roman;Times;serif"/>
          <w:color w:val="000000"/>
          <w:sz w:val="20"/>
          <w:u w:val="single"/>
        </w:rPr>
        <w:t>clause (c</w:t>
      </w:r>
      <w:r>
        <w:rPr>
          <w:rFonts w:ascii="Times New Roman;Times;serif" w:hAnsi="Times New Roman;Times;serif"/>
          <w:color w:val="000000"/>
          <w:sz w:val="20"/>
        </w:rPr>
        <w:t xml:space="preserve">) thereunder, </w:t>
      </w:r>
      <w:r>
        <w:rPr>
          <w:rFonts w:ascii="Times New Roman;Times;serif" w:hAnsi="Times New Roman;Times;serif"/>
          <w:color w:val="000000"/>
          <w:sz w:val="20"/>
          <w:u w:val="single"/>
        </w:rPr>
        <w:t>provided</w:t>
      </w:r>
      <w:r>
        <w:rPr>
          <w:rFonts w:ascii="Times New Roman;Times;serif" w:hAnsi="Times New Roman;Times;serif"/>
          <w:color w:val="000000"/>
          <w:sz w:val="20"/>
        </w:rPr>
        <w:t> </w:t>
      </w:r>
      <w:r>
        <w:rPr>
          <w:rFonts w:ascii="Times New Roman;Times;serif" w:hAnsi="Times New Roman;Times;serif"/>
          <w:color w:val="000000"/>
          <w:sz w:val="20"/>
          <w:u w:val="single"/>
        </w:rPr>
        <w:t>that</w:t>
      </w:r>
      <w:r>
        <w:rPr>
          <w:rFonts w:ascii="Times New Roman;Times;serif" w:hAnsi="Times New Roman;Times;serif"/>
          <w:color w:val="000000"/>
          <w:sz w:val="20"/>
        </w:rPr>
        <w:t xml:space="preserve"> such Liens are not secured by assets of the Company or its Subsidiaries other than the assets so acquired or leased, (e) easements, rights of way, restrictions, minor defects or irregularities in title and other similar Liens, in each case, not interfering in any material respect with the ordinary conduct of the Company’s business, (f) Liens existing on the date hereof and disclosed to the Holder prior to the date hereof (including any Liens set forth in the SEC Reports), (g) Liens arising from judgments, decrees or attachments in circumstances which do not constitute an Event of Default; (h) Liens on deposits under worker’s compensation, unemployment insurance, social security and other similar laws, (i) Liens arising from the filing of any precautionary financing statement on operating leases covering the leased property, to the extent such operating leases are not prohibited under this Note and (j) Liens incurred in connection with the extension, renewal or refinancing of the Indebtedness secured by Liens of the type described in </w:t>
      </w:r>
      <w:r>
        <w:rPr>
          <w:rFonts w:ascii="Times New Roman;Times;serif" w:hAnsi="Times New Roman;Times;serif"/>
          <w:color w:val="000000"/>
          <w:sz w:val="20"/>
          <w:u w:val="single"/>
        </w:rPr>
        <w:t>clause (m</w:t>
      </w:r>
      <w:r>
        <w:rPr>
          <w:rFonts w:ascii="Times New Roman;Times;serif" w:hAnsi="Times New Roman;Times;serif"/>
          <w:color w:val="000000"/>
          <w:sz w:val="20"/>
        </w:rPr>
        <w:t xml:space="preserve">) above, </w:t>
      </w:r>
      <w:r>
        <w:rPr>
          <w:rFonts w:ascii="Times New Roman;Times;serif" w:hAnsi="Times New Roman;Times;serif"/>
          <w:color w:val="000000"/>
          <w:sz w:val="20"/>
          <w:u w:val="single"/>
        </w:rPr>
        <w:t>provided</w:t>
      </w:r>
      <w:r>
        <w:rPr>
          <w:rFonts w:ascii="Times New Roman;Times;serif" w:hAnsi="Times New Roman;Times;serif"/>
          <w:color w:val="000000"/>
          <w:sz w:val="20"/>
        </w:rPr>
        <w:t> </w:t>
      </w:r>
      <w:r>
        <w:rPr>
          <w:rFonts w:ascii="Times New Roman;Times;serif" w:hAnsi="Times New Roman;Times;serif"/>
          <w:color w:val="000000"/>
          <w:sz w:val="20"/>
          <w:u w:val="single"/>
        </w:rPr>
        <w:t>that</w:t>
      </w:r>
      <w:r>
        <w:rPr>
          <w:rFonts w:ascii="Times New Roman;Times;serif" w:hAnsi="Times New Roman;Times;serif"/>
          <w:color w:val="000000"/>
          <w:sz w:val="20"/>
        </w:rPr>
        <w:t xml:space="preserve"> any extension, renewal or replacement Lien shall be limited to the property encumbered by the existing Lien and the principal amount of the indebtedness being extended, renewed or refinanced does not increase.</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color w:val="000000"/>
        </w:rPr>
      </w:pPr>
      <w:r>
        <w:rPr>
          <w:color w:val="000000"/>
        </w:rPr>
        <w:t>“</w:t>
      </w:r>
      <w:r>
        <w:rPr>
          <w:rFonts w:ascii="Times New Roman;Times;serif" w:hAnsi="Times New Roman;Times;serif"/>
          <w:color w:val="000000"/>
          <w:sz w:val="20"/>
          <w:u w:val="single"/>
        </w:rPr>
        <w:t>Purchase Agreement</w:t>
      </w:r>
      <w:r>
        <w:rPr>
          <w:rFonts w:ascii="Times New Roman;Times;serif" w:hAnsi="Times New Roman;Times;serif"/>
          <w:color w:val="000000"/>
          <w:sz w:val="20"/>
        </w:rPr>
        <w:t>” means the Securities Purchase Agreement, dated as of June 30, 2026, among the Company and the original Holders, as amended, modified or supplemented from time to time in accordance with its terms.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color w:val="000000"/>
        </w:rPr>
      </w:pPr>
      <w:r>
        <w:rPr>
          <w:color w:val="000000"/>
        </w:rPr>
        <w:t>“</w:t>
      </w:r>
      <w:r>
        <w:rPr>
          <w:rFonts w:ascii="Times New Roman;Times;serif" w:hAnsi="Times New Roman;Times;serif"/>
          <w:color w:val="000000"/>
          <w:sz w:val="20"/>
          <w:u w:val="single"/>
        </w:rPr>
        <w:t>Share Delivery Date</w:t>
      </w:r>
      <w:r>
        <w:rPr>
          <w:rFonts w:ascii="Times New Roman;Times;serif" w:hAnsi="Times New Roman;Times;serif"/>
          <w:color w:val="000000"/>
          <w:sz w:val="20"/>
        </w:rPr>
        <w:t>” shall have the meaning set forth in Section 4(c)(ii).</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color w:val="000000"/>
        </w:rPr>
      </w:pPr>
      <w:r>
        <w:rPr>
          <w:color w:val="000000"/>
        </w:rPr>
        <w:t>“</w:t>
      </w:r>
      <w:r>
        <w:rPr>
          <w:rFonts w:ascii="Times New Roman;Times;serif" w:hAnsi="Times New Roman;Times;serif"/>
          <w:color w:val="000000"/>
          <w:sz w:val="20"/>
          <w:u w:val="single"/>
        </w:rPr>
        <w:t>Securities Act</w:t>
      </w:r>
      <w:r>
        <w:rPr>
          <w:rFonts w:ascii="Times New Roman;Times;serif" w:hAnsi="Times New Roman;Times;serif"/>
          <w:color w:val="000000"/>
          <w:sz w:val="20"/>
        </w:rPr>
        <w:t>” means the Securities Act of 1933, as amended, and the rules and regulations promulgated thereunder.</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color w:val="000000"/>
        </w:rPr>
      </w:pPr>
      <w:r>
        <w:rPr>
          <w:color w:val="000000"/>
        </w:rPr>
        <w:t>“</w:t>
      </w:r>
      <w:r>
        <w:rPr>
          <w:rFonts w:ascii="Times New Roman;Times;serif" w:hAnsi="Times New Roman;Times;serif"/>
          <w:color w:val="000000"/>
          <w:sz w:val="20"/>
          <w:u w:val="single"/>
        </w:rPr>
        <w:t>Trading Day</w:t>
      </w:r>
      <w:r>
        <w:rPr>
          <w:rFonts w:ascii="Times New Roman;Times;serif" w:hAnsi="Times New Roman;Times;serif"/>
          <w:color w:val="000000"/>
          <w:sz w:val="20"/>
        </w:rPr>
        <w:t>” means a day on which the principal Trading Market is open for trading.</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color w:val="000000"/>
        </w:rPr>
      </w:pPr>
      <w:r>
        <w:rPr>
          <w:color w:val="000000"/>
        </w:rPr>
        <w:t>“</w:t>
      </w:r>
      <w:r>
        <w:rPr>
          <w:rFonts w:ascii="Times New Roman;Times;serif" w:hAnsi="Times New Roman;Times;serif"/>
          <w:color w:val="000000"/>
          <w:sz w:val="20"/>
          <w:u w:val="single"/>
        </w:rPr>
        <w:t>Trading Market</w:t>
      </w:r>
      <w:r>
        <w:rPr>
          <w:rFonts w:ascii="Times New Roman;Times;serif" w:hAnsi="Times New Roman;Times;serif"/>
          <w:color w:val="000000"/>
          <w:sz w:val="20"/>
        </w:rPr>
        <w:t>” means any of the following markets or exchanges on which the Ordinary Shares are listed or quoted for trading on the date in question: the NYSE American, the Nasdaq Capital Market, the Nasdaq Global Market, the Nasdaq Global Select Market, or the New York Stock Exchange (or any successors to any of the foregoing).</w:t>
      </w:r>
    </w:p>
    <w:p>
      <w:pPr>
        <w:pStyle w:val="TextBody"/>
        <w:bidi w:val="0"/>
        <w:spacing w:lineRule="auto" w:line="300" w:before="0" w:after="0"/>
        <w:jc w:val="left"/>
        <w:rPr>
          <w:color w:val="000000"/>
        </w:rPr>
      </w:pPr>
      <w:r>
        <w:rPr>
          <w:color w:val="000000"/>
        </w:rPr>
        <w:t> </w:t>
      </w:r>
    </w:p>
    <w:p>
      <w:pPr>
        <w:pStyle w:val="Normal"/>
        <w:bidi w:val="0"/>
        <w:spacing w:lineRule="auto" w:line="300" w:before="0" w:after="0"/>
        <w:jc w:val="left"/>
        <w:rPr>
          <w:sz w:val="4"/>
          <w:szCs w:val="4"/>
        </w:rPr>
      </w:pPr>
      <w:r>
        <w:rPr>
          <w:sz w:val="4"/>
          <w:szCs w:val="4"/>
        </w:rPr>
      </w:r>
      <w:bookmarkStart w:id="222" w:name="za893f13ba66c434a893bd3f0698f6e92"/>
      <w:bookmarkStart w:id="223" w:name="za893f13ba66c434a893bd3f0698f6e92"/>
      <w:bookmarkEnd w:id="223"/>
    </w:p>
    <w:tbl>
      <w:tblPr>
        <w:tblW w:w="1728" w:type="dxa"/>
        <w:jc w:val="left"/>
        <w:tblInd w:w="0" w:type="dxa"/>
        <w:tblLayout w:type="fixed"/>
        <w:tblCellMar>
          <w:top w:w="0" w:type="dxa"/>
          <w:left w:w="0" w:type="dxa"/>
          <w:bottom w:w="0" w:type="dxa"/>
          <w:right w:w="0" w:type="dxa"/>
        </w:tblCellMar>
      </w:tblPr>
      <w:tblGrid>
        <w:gridCol w:w="38"/>
        <w:gridCol w:w="830"/>
        <w:gridCol w:w="860"/>
      </w:tblGrid>
      <w:tr>
        <w:trPr/>
        <w:tc>
          <w:tcPr>
            <w:tcW w:w="38" w:type="dxa"/>
            <w:tcBorders/>
            <w:vAlign w:val="center"/>
          </w:tcPr>
          <w:p>
            <w:pPr>
              <w:pStyle w:val="TableContents"/>
              <w:bidi w:val="0"/>
              <w:spacing w:before="0" w:after="283"/>
              <w:jc w:val="left"/>
              <w:rPr/>
            </w:pPr>
            <w:r>
              <w:rPr/>
            </w:r>
          </w:p>
        </w:tc>
        <w:tc>
          <w:tcPr>
            <w:tcW w:w="830" w:type="dxa"/>
            <w:tcBorders/>
            <w:vAlign w:val="center"/>
          </w:tcPr>
          <w:p>
            <w:pPr>
              <w:pStyle w:val="TableContents"/>
              <w:bidi w:val="0"/>
              <w:spacing w:before="0" w:after="283"/>
              <w:jc w:val="left"/>
              <w:rPr>
                <w:rFonts w:ascii="Times New Roman;Times;serif" w:hAnsi="Times New Roman;Times;serif"/>
                <w:sz w:val="20"/>
                <w:u w:val="single"/>
              </w:rPr>
            </w:pPr>
            <w:r>
              <w:rPr>
                <w:rFonts w:ascii="Times New Roman;Times;serif" w:hAnsi="Times New Roman;Times;serif"/>
                <w:sz w:val="20"/>
                <w:u w:val="single"/>
              </w:rPr>
              <w:t>Section 2.</w:t>
            </w:r>
          </w:p>
        </w:tc>
        <w:tc>
          <w:tcPr>
            <w:tcW w:w="86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u w:val="single"/>
              </w:rPr>
              <w:t>Payments</w:t>
            </w:r>
            <w:r>
              <w:rPr>
                <w:rFonts w:ascii="Times New Roman;Times;serif" w:hAnsi="Times New Roman;Times;serif"/>
                <w:sz w:val="20"/>
              </w:rPr>
              <w:t>.</w:t>
            </w:r>
          </w:p>
        </w:tc>
      </w:tr>
    </w:tbl>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(a)          </w:t>
      </w:r>
      <w:r>
        <w:rPr>
          <w:rFonts w:ascii="Times New Roman;Times;serif" w:hAnsi="Times New Roman;Times;serif"/>
          <w:color w:val="000000"/>
          <w:sz w:val="20"/>
          <w:u w:val="single"/>
        </w:rPr>
        <w:t>Payment of Interest</w:t>
      </w:r>
      <w:r>
        <w:rPr>
          <w:rFonts w:ascii="Times New Roman;Times;serif" w:hAnsi="Times New Roman;Times;serif"/>
          <w:color w:val="000000"/>
          <w:sz w:val="20"/>
        </w:rPr>
        <w:t>. Subject to the provisions of Section 8(b) hereof, this Note shall initially bear interest at a rate of eight percent (8%) per annum. Except as otherwise set forth in this Note, any interest payable on this Note shall be shall be payable semi</w:t>
        <w:noBreakHyphen/>
        <w:t>annually in arrears on June 30 and December 31 of each year, commencing on  December 31, 2026 (each, an “</w:t>
      </w:r>
      <w:r>
        <w:rPr>
          <w:rFonts w:ascii="Times New Roman;Times;serif" w:hAnsi="Times New Roman;Times;serif"/>
          <w:color w:val="000000"/>
          <w:sz w:val="20"/>
          <w:u w:val="single"/>
        </w:rPr>
        <w:t>Interest Payment Date</w:t>
      </w:r>
      <w:r>
        <w:rPr>
          <w:rFonts w:ascii="Times New Roman;Times;serif" w:hAnsi="Times New Roman;Times;serif"/>
          <w:color w:val="000000"/>
          <w:sz w:val="20"/>
        </w:rPr>
        <w:t>”) (if an Interest Payment Date is not a Business Day, then the payment shall be due on the next succeeding Business Day), in cash (such amount due, the “</w:t>
      </w:r>
      <w:r>
        <w:rPr>
          <w:rFonts w:ascii="Times New Roman;Times;serif" w:hAnsi="Times New Roman;Times;serif"/>
          <w:color w:val="000000"/>
          <w:sz w:val="20"/>
          <w:u w:val="single"/>
        </w:rPr>
        <w:t>Interest Payment Amount</w:t>
      </w:r>
      <w:r>
        <w:rPr>
          <w:rFonts w:ascii="Times New Roman;Times;serif" w:hAnsi="Times New Roman;Times;serif"/>
          <w:color w:val="000000"/>
          <w:sz w:val="20"/>
        </w:rPr>
        <w:t>”). On each Interest Payment Date, the Company may, at its sole election, (i) pay the Interest Payment Amount in cash, or (ii) elect to have such Interest Payment Amount added to the outstanding principal balance of this Note, in which case, such Interest Payment Amount shall thereafter be deemed principal for all purposes hereunder.</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(b)          </w:t>
      </w:r>
      <w:r>
        <w:rPr>
          <w:rFonts w:ascii="Times New Roman;Times;serif" w:hAnsi="Times New Roman;Times;serif"/>
          <w:color w:val="000000"/>
          <w:sz w:val="20"/>
          <w:u w:val="single"/>
        </w:rPr>
        <w:t>Interest Calculations</w:t>
      </w:r>
      <w:r>
        <w:rPr>
          <w:rFonts w:ascii="Times New Roman;Times;serif" w:hAnsi="Times New Roman;Times;serif"/>
          <w:color w:val="000000"/>
          <w:sz w:val="20"/>
        </w:rPr>
        <w:t>. Interest shall be calculated on the basis of a 365 or 366 day year, as applicable, and the actual number of days elapsed, and shall accrue daily commencing on the Original Issue Date until payment in full of the outstanding principal, together with all accrued and unpaid interest, liquidated damages and other amounts which may become due hereunder, has been made.  Interest hereunder will be paid to the Person in whose name this Note is registered on the records of the Company regarding registration and transfers of this Note (the “</w:t>
      </w:r>
      <w:r>
        <w:rPr>
          <w:rFonts w:ascii="Times New Roman;Times;serif" w:hAnsi="Times New Roman;Times;serif"/>
          <w:color w:val="000000"/>
          <w:sz w:val="20"/>
          <w:u w:val="single"/>
        </w:rPr>
        <w:t>Note Register</w:t>
      </w:r>
      <w:r>
        <w:rPr>
          <w:rFonts w:ascii="Times New Roman;Times;serif" w:hAnsi="Times New Roman;Times;serif"/>
          <w:color w:val="000000"/>
          <w:sz w:val="20"/>
        </w:rPr>
        <w:t>”).</w:t>
      </w:r>
    </w:p>
    <w:p>
      <w:pPr>
        <w:pStyle w:val="TextBody"/>
        <w:bidi w:val="0"/>
        <w:spacing w:lineRule="auto" w:line="300"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A - 5</w:t>
      </w:r>
    </w:p>
    <w:p>
      <w:pPr>
        <w:pStyle w:val="HorizontalLine"/>
        <w:pBdr>
          <w:bottom w:val="single" w:sz="12" w:space="0" w:color="808080"/>
        </w:pBdr>
        <w:bidi w:val="0"/>
        <w:spacing w:lineRule="auto" w:line="300" w:before="200" w:after="200"/>
        <w:jc w:val="left"/>
        <w:rPr/>
      </w:pPr>
      <w:r>
        <w:rPr/>
      </w:r>
    </w:p>
    <w:p>
      <w:pPr>
        <w:pStyle w:val="TextBody"/>
        <w:bidi w:val="0"/>
        <w:spacing w:lineRule="auto" w:line="300"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(c)          </w:t>
      </w:r>
      <w:r>
        <w:rPr>
          <w:rFonts w:ascii="Times New Roman;Times;serif" w:hAnsi="Times New Roman;Times;serif"/>
          <w:color w:val="000000"/>
          <w:sz w:val="20"/>
          <w:u w:val="single"/>
        </w:rPr>
        <w:t>Late Fee</w:t>
      </w:r>
      <w:r>
        <w:rPr>
          <w:rFonts w:ascii="Times New Roman;Times;serif" w:hAnsi="Times New Roman;Times;serif"/>
          <w:color w:val="000000"/>
          <w:sz w:val="20"/>
        </w:rPr>
        <w:t>.  All overdue accrued and unpaid interest to be paid hereunder shall entail a late fee at an interest rate equal to the lesser of 15% per annum or the maximum rate permitted by applicable law (the “</w:t>
      </w:r>
      <w:r>
        <w:rPr>
          <w:rFonts w:ascii="Times New Roman;Times;serif" w:hAnsi="Times New Roman;Times;serif"/>
          <w:color w:val="000000"/>
          <w:sz w:val="20"/>
          <w:u w:val="single"/>
        </w:rPr>
        <w:t>Late Fees</w:t>
      </w:r>
      <w:r>
        <w:rPr>
          <w:rFonts w:ascii="Times New Roman;Times;serif" w:hAnsi="Times New Roman;Times;serif"/>
          <w:color w:val="000000"/>
          <w:sz w:val="20"/>
        </w:rPr>
        <w:t>”) which shall accrue daily from the date such interest is due hereunder through and including the date of actual payment in full.</w:t>
      </w:r>
    </w:p>
    <w:p>
      <w:pPr>
        <w:pStyle w:val="TextBody"/>
        <w:bidi w:val="0"/>
        <w:spacing w:lineRule="auto" w:line="300" w:before="0" w:after="0"/>
        <w:jc w:val="left"/>
        <w:rPr>
          <w:color w:val="000000"/>
        </w:rPr>
      </w:pPr>
      <w:r>
        <w:rPr>
          <w:color w:val="000000"/>
        </w:rPr>
        <w:t> </w:t>
      </w:r>
    </w:p>
    <w:p>
      <w:pPr>
        <w:pStyle w:val="Normal"/>
        <w:bidi w:val="0"/>
        <w:spacing w:lineRule="auto" w:line="300" w:before="0" w:after="0"/>
        <w:jc w:val="left"/>
        <w:rPr>
          <w:sz w:val="4"/>
          <w:szCs w:val="4"/>
        </w:rPr>
      </w:pPr>
      <w:r>
        <w:rPr>
          <w:sz w:val="4"/>
          <w:szCs w:val="4"/>
        </w:rPr>
      </w:r>
      <w:bookmarkStart w:id="224" w:name="z91948c13dfe84518a5473631bf1aeed1"/>
      <w:bookmarkStart w:id="225" w:name="z91948c13dfe84518a5473631bf1aeed1"/>
      <w:bookmarkEnd w:id="225"/>
    </w:p>
    <w:tbl>
      <w:tblPr>
        <w:tblW w:w="4218" w:type="dxa"/>
        <w:jc w:val="left"/>
        <w:tblInd w:w="0" w:type="dxa"/>
        <w:tblLayout w:type="fixed"/>
        <w:tblCellMar>
          <w:top w:w="0" w:type="dxa"/>
          <w:left w:w="0" w:type="dxa"/>
          <w:bottom w:w="0" w:type="dxa"/>
          <w:right w:w="0" w:type="dxa"/>
        </w:tblCellMar>
      </w:tblPr>
      <w:tblGrid>
        <w:gridCol w:w="38"/>
        <w:gridCol w:w="830"/>
        <w:gridCol w:w="3350"/>
      </w:tblGrid>
      <w:tr>
        <w:trPr/>
        <w:tc>
          <w:tcPr>
            <w:tcW w:w="38" w:type="dxa"/>
            <w:tcBorders/>
            <w:vAlign w:val="center"/>
          </w:tcPr>
          <w:p>
            <w:pPr>
              <w:pStyle w:val="TableContents"/>
              <w:bidi w:val="0"/>
              <w:spacing w:before="0" w:after="283"/>
              <w:jc w:val="left"/>
              <w:rPr/>
            </w:pPr>
            <w:r>
              <w:rPr/>
            </w:r>
          </w:p>
        </w:tc>
        <w:tc>
          <w:tcPr>
            <w:tcW w:w="830" w:type="dxa"/>
            <w:tcBorders/>
            <w:vAlign w:val="center"/>
          </w:tcPr>
          <w:p>
            <w:pPr>
              <w:pStyle w:val="TableContents"/>
              <w:bidi w:val="0"/>
              <w:spacing w:before="0" w:after="283"/>
              <w:jc w:val="left"/>
              <w:rPr>
                <w:rFonts w:ascii="Times New Roman;Times;serif" w:hAnsi="Times New Roman;Times;serif"/>
                <w:sz w:val="20"/>
                <w:u w:val="single"/>
              </w:rPr>
            </w:pPr>
            <w:r>
              <w:rPr>
                <w:rFonts w:ascii="Times New Roman;Times;serif" w:hAnsi="Times New Roman;Times;serif"/>
                <w:sz w:val="20"/>
                <w:u w:val="single"/>
              </w:rPr>
              <w:t>Section 3.</w:t>
            </w:r>
          </w:p>
        </w:tc>
        <w:tc>
          <w:tcPr>
            <w:tcW w:w="335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u w:val="single"/>
              </w:rPr>
              <w:t>Registration of Transfers and Exchanges</w:t>
            </w:r>
            <w:r>
              <w:rPr>
                <w:rFonts w:ascii="Times New Roman;Times;serif" w:hAnsi="Times New Roman;Times;serif"/>
                <w:sz w:val="20"/>
              </w:rPr>
              <w:t>.</w:t>
            </w:r>
          </w:p>
        </w:tc>
      </w:tr>
    </w:tbl>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810"/>
        <w:jc w:val="both"/>
        <w:rPr>
          <w:rFonts w:ascii="Times New Roman;Times;serif" w:hAnsi="Times New Roman;Times;serif"/>
          <w:color w:val="000000"/>
          <w:sz w:val="20"/>
        </w:rPr>
      </w:pPr>
      <w:r>
        <w:rPr>
          <w:rFonts w:ascii="Times New Roman;Times;serif" w:hAnsi="Times New Roman;Times;serif"/>
          <w:color w:val="000000"/>
          <w:sz w:val="20"/>
        </w:rPr>
        <w:t>(a)          </w:t>
      </w:r>
      <w:r>
        <w:rPr>
          <w:rFonts w:ascii="Times New Roman;Times;serif" w:hAnsi="Times New Roman;Times;serif"/>
          <w:color w:val="000000"/>
          <w:sz w:val="20"/>
          <w:u w:val="single"/>
        </w:rPr>
        <w:t>Different Denominations</w:t>
      </w:r>
      <w:r>
        <w:rPr>
          <w:rFonts w:ascii="Times New Roman;Times;serif" w:hAnsi="Times New Roman;Times;serif"/>
          <w:color w:val="000000"/>
          <w:sz w:val="20"/>
        </w:rPr>
        <w:t>. This Note is exchangeable for an equal aggregate principal amount of Notes of different authorized denominations, as requested by the Holder surrendering the same. No service charge will be payable for such registration of transfer or exchange.</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810"/>
        <w:jc w:val="both"/>
        <w:rPr>
          <w:rFonts w:ascii="Times New Roman;Times;serif" w:hAnsi="Times New Roman;Times;serif"/>
          <w:color w:val="000000"/>
          <w:sz w:val="20"/>
        </w:rPr>
      </w:pPr>
      <w:r>
        <w:rPr>
          <w:rFonts w:ascii="Times New Roman;Times;serif" w:hAnsi="Times New Roman;Times;serif"/>
          <w:color w:val="000000"/>
          <w:sz w:val="20"/>
        </w:rPr>
        <w:t>(b)          </w:t>
      </w:r>
      <w:r>
        <w:rPr>
          <w:rFonts w:ascii="Times New Roman;Times;serif" w:hAnsi="Times New Roman;Times;serif"/>
          <w:color w:val="000000"/>
          <w:sz w:val="20"/>
          <w:u w:val="single"/>
        </w:rPr>
        <w:t>Investment Representations</w:t>
      </w:r>
      <w:r>
        <w:rPr>
          <w:rFonts w:ascii="Times New Roman;Times;serif" w:hAnsi="Times New Roman;Times;serif"/>
          <w:color w:val="000000"/>
          <w:sz w:val="20"/>
        </w:rPr>
        <w:t>. This Note has been issued subject to certain investment representations of the original Holder set forth in the Purchase Agreement and may be transferred or exchanged only in compliance with the Purchase Agreement and applicable federal and state securities laws and regulations.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810"/>
        <w:jc w:val="both"/>
        <w:rPr>
          <w:rFonts w:ascii="Times New Roman;Times;serif" w:hAnsi="Times New Roman;Times;serif"/>
          <w:color w:val="000000"/>
          <w:sz w:val="20"/>
        </w:rPr>
      </w:pPr>
      <w:r>
        <w:rPr>
          <w:rFonts w:ascii="Times New Roman;Times;serif" w:hAnsi="Times New Roman;Times;serif"/>
          <w:color w:val="000000"/>
          <w:sz w:val="20"/>
        </w:rPr>
        <w:t>(c)          </w:t>
      </w:r>
      <w:r>
        <w:rPr>
          <w:rFonts w:ascii="Times New Roman;Times;serif" w:hAnsi="Times New Roman;Times;serif"/>
          <w:color w:val="000000"/>
          <w:sz w:val="20"/>
          <w:u w:val="single"/>
        </w:rPr>
        <w:t>Reliance on Note Register</w:t>
      </w:r>
      <w:r>
        <w:rPr>
          <w:rFonts w:ascii="Times New Roman;Times;serif" w:hAnsi="Times New Roman;Times;serif"/>
          <w:color w:val="000000"/>
          <w:sz w:val="20"/>
        </w:rPr>
        <w:t>. Prior to due presentment for transfer to the Company of this Note, the Company and any agent of the Company may treat the Person in whose name this Note is duly registered on the Note Register as the owner hereof for the purpose of receiving payment as herein provided and for all other purposes, whether or not this Note is overdue, and neither the Company nor any such agent shall be affected by notice to the contrary.</w:t>
      </w:r>
    </w:p>
    <w:p>
      <w:pPr>
        <w:pStyle w:val="TextBody"/>
        <w:bidi w:val="0"/>
        <w:spacing w:lineRule="auto" w:line="300" w:before="0" w:after="0"/>
        <w:jc w:val="left"/>
        <w:rPr>
          <w:color w:val="000000"/>
        </w:rPr>
      </w:pPr>
      <w:r>
        <w:rPr>
          <w:color w:val="000000"/>
        </w:rPr>
        <w:t> </w:t>
      </w:r>
    </w:p>
    <w:p>
      <w:pPr>
        <w:pStyle w:val="Normal"/>
        <w:bidi w:val="0"/>
        <w:spacing w:lineRule="auto" w:line="300" w:before="0" w:after="0"/>
        <w:jc w:val="left"/>
        <w:rPr>
          <w:sz w:val="4"/>
          <w:szCs w:val="4"/>
        </w:rPr>
      </w:pPr>
      <w:r>
        <w:rPr>
          <w:sz w:val="4"/>
          <w:szCs w:val="4"/>
        </w:rPr>
      </w:r>
      <w:bookmarkStart w:id="226" w:name="z8b48a160e1aa4c71894df730f7176866"/>
      <w:bookmarkStart w:id="227" w:name="z8b48a160e1aa4c71894df730f7176866"/>
      <w:bookmarkEnd w:id="227"/>
    </w:p>
    <w:tbl>
      <w:tblPr>
        <w:tblW w:w="1893" w:type="dxa"/>
        <w:jc w:val="left"/>
        <w:tblInd w:w="0" w:type="dxa"/>
        <w:tblLayout w:type="fixed"/>
        <w:tblCellMar>
          <w:top w:w="0" w:type="dxa"/>
          <w:left w:w="0" w:type="dxa"/>
          <w:bottom w:w="0" w:type="dxa"/>
          <w:right w:w="0" w:type="dxa"/>
        </w:tblCellMar>
      </w:tblPr>
      <w:tblGrid>
        <w:gridCol w:w="38"/>
        <w:gridCol w:w="830"/>
        <w:gridCol w:w="1025"/>
      </w:tblGrid>
      <w:tr>
        <w:trPr/>
        <w:tc>
          <w:tcPr>
            <w:tcW w:w="38" w:type="dxa"/>
            <w:tcBorders/>
            <w:vAlign w:val="center"/>
          </w:tcPr>
          <w:p>
            <w:pPr>
              <w:pStyle w:val="TableContents"/>
              <w:bidi w:val="0"/>
              <w:spacing w:before="0" w:after="283"/>
              <w:jc w:val="left"/>
              <w:rPr/>
            </w:pPr>
            <w:r>
              <w:rPr/>
            </w:r>
          </w:p>
        </w:tc>
        <w:tc>
          <w:tcPr>
            <w:tcW w:w="830" w:type="dxa"/>
            <w:tcBorders/>
            <w:vAlign w:val="center"/>
          </w:tcPr>
          <w:p>
            <w:pPr>
              <w:pStyle w:val="TableContents"/>
              <w:bidi w:val="0"/>
              <w:spacing w:before="0" w:after="283"/>
              <w:jc w:val="left"/>
              <w:rPr>
                <w:rFonts w:ascii="Times New Roman;Times;serif" w:hAnsi="Times New Roman;Times;serif"/>
                <w:sz w:val="20"/>
                <w:u w:val="single"/>
              </w:rPr>
            </w:pPr>
            <w:r>
              <w:rPr>
                <w:rFonts w:ascii="Times New Roman;Times;serif" w:hAnsi="Times New Roman;Times;serif"/>
                <w:sz w:val="20"/>
                <w:u w:val="single"/>
              </w:rPr>
              <w:t>Section 4.</w:t>
            </w:r>
          </w:p>
        </w:tc>
        <w:tc>
          <w:tcPr>
            <w:tcW w:w="102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u w:val="single"/>
              </w:rPr>
              <w:t>Conversion</w:t>
            </w:r>
            <w:r>
              <w:rPr>
                <w:rFonts w:ascii="Times New Roman;Times;serif" w:hAnsi="Times New Roman;Times;serif"/>
                <w:sz w:val="20"/>
              </w:rPr>
              <w:t>.</w:t>
            </w:r>
          </w:p>
        </w:tc>
      </w:tr>
    </w:tbl>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810"/>
        <w:jc w:val="both"/>
        <w:rPr>
          <w:rFonts w:ascii="Times New Roman;Times;serif" w:hAnsi="Times New Roman;Times;serif"/>
          <w:color w:val="000000"/>
          <w:sz w:val="20"/>
        </w:rPr>
      </w:pPr>
      <w:r>
        <w:rPr>
          <w:rFonts w:ascii="Times New Roman;Times;serif" w:hAnsi="Times New Roman;Times;serif"/>
          <w:color w:val="000000"/>
          <w:sz w:val="20"/>
        </w:rPr>
        <w:t>(a)          </w:t>
      </w:r>
      <w:r>
        <w:rPr>
          <w:rFonts w:ascii="Times New Roman;Times;serif" w:hAnsi="Times New Roman;Times;serif"/>
          <w:color w:val="000000"/>
          <w:sz w:val="20"/>
          <w:u w:val="single"/>
        </w:rPr>
        <w:t>Voluntary Conversion</w:t>
      </w:r>
      <w:r>
        <w:rPr>
          <w:rFonts w:ascii="Times New Roman;Times;serif" w:hAnsi="Times New Roman;Times;serif"/>
          <w:color w:val="000000"/>
          <w:sz w:val="20"/>
        </w:rPr>
        <w:t xml:space="preserve">. At any time after the Original Issue Date until this Note is no longer outstanding, this Note, and at the sole option of the Holder, all accrued and unpaid interest thereon, shall be convertible, in whole or in part, into Ordinary Shares at the option of the Holder, at any time and from time to time (subject to the conversion limitations set forth in Section 4(d)). The Holder shall effect conversions by delivering to the Company a Notice of Conversion, the form of which is attached hereto as </w:t>
      </w:r>
      <w:r>
        <w:rPr>
          <w:rFonts w:ascii="Times New Roman;Times;serif" w:hAnsi="Times New Roman;Times;serif"/>
          <w:color w:val="000000"/>
          <w:sz w:val="20"/>
          <w:u w:val="single"/>
        </w:rPr>
        <w:t>Annex A</w:t>
      </w:r>
      <w:r>
        <w:rPr>
          <w:rFonts w:ascii="Times New Roman;Times;serif" w:hAnsi="Times New Roman;Times;serif"/>
          <w:color w:val="000000"/>
          <w:sz w:val="20"/>
        </w:rPr>
        <w:t xml:space="preserve"> (each, a “</w:t>
      </w:r>
      <w:r>
        <w:rPr>
          <w:rFonts w:ascii="Times New Roman;Times;serif" w:hAnsi="Times New Roman;Times;serif"/>
          <w:color w:val="000000"/>
          <w:sz w:val="20"/>
          <w:u w:val="single"/>
        </w:rPr>
        <w:t>Notice of Conversion</w:t>
      </w:r>
      <w:r>
        <w:rPr>
          <w:rFonts w:ascii="Times New Roman;Times;serif" w:hAnsi="Times New Roman;Times;serif"/>
          <w:color w:val="000000"/>
          <w:sz w:val="20"/>
        </w:rPr>
        <w:t xml:space="preserve">”), specifying therein the principal amount of this Note, </w:t>
      </w:r>
      <w:r>
        <w:rPr>
          <w:rFonts w:ascii="Times New Roman;Times;serif" w:hAnsi="Times New Roman;Times;serif"/>
          <w:i/>
          <w:color w:val="000000"/>
          <w:sz w:val="20"/>
        </w:rPr>
        <w:t>plus</w:t>
      </w:r>
      <w:r>
        <w:rPr>
          <w:rFonts w:ascii="Times New Roman;Times;serif" w:hAnsi="Times New Roman;Times;serif"/>
          <w:color w:val="000000"/>
          <w:sz w:val="20"/>
        </w:rPr>
        <w:t>, at the option of the Holder, any accrued and unpaid interest thereon to be converted, and the date on which such conversion shall be effected (such date, the “</w:t>
      </w:r>
      <w:r>
        <w:rPr>
          <w:rFonts w:ascii="Times New Roman;Times;serif" w:hAnsi="Times New Roman;Times;serif"/>
          <w:color w:val="000000"/>
          <w:sz w:val="20"/>
          <w:u w:val="single"/>
        </w:rPr>
        <w:t>Conversion Date</w:t>
      </w:r>
      <w:r>
        <w:rPr>
          <w:rFonts w:ascii="Times New Roman;Times;serif" w:hAnsi="Times New Roman;Times;serif"/>
          <w:color w:val="000000"/>
          <w:sz w:val="20"/>
        </w:rPr>
        <w:t xml:space="preserve">”). If no Conversion Date is specified in a Notice of Conversion, the Conversion Date shall be the date that such Notice of Conversion is deemed delivered hereunder. No ink-original Notice of Conversion shall be required, nor shall any medallion guarantee (or other type of guarantee or notarization) of any Notice of Conversion form be required. To effect conversions hereunder, the Holder shall not be required to physically surrender this Note to the Company unless the entire principal amount of this Note, </w:t>
      </w:r>
      <w:r>
        <w:rPr>
          <w:rFonts w:ascii="Times New Roman;Times;serif" w:hAnsi="Times New Roman;Times;serif"/>
          <w:i/>
          <w:color w:val="000000"/>
          <w:sz w:val="20"/>
        </w:rPr>
        <w:t>plus</w:t>
      </w:r>
      <w:r>
        <w:rPr>
          <w:rFonts w:ascii="Times New Roman;Times;serif" w:hAnsi="Times New Roman;Times;serif"/>
          <w:color w:val="000000"/>
          <w:sz w:val="20"/>
        </w:rPr>
        <w:t xml:space="preserve"> all accrued and unpaid interest thereon, has been so converted in which case the Holder shall surrender this Note as promptly as is reasonably practicable after such conversion without delaying the Company’s obligation to deliver the shares on the Share Delivery Date. Conversions hereunder shall have the effect of lowering the outstanding principal amount of this Note (</w:t>
      </w:r>
      <w:r>
        <w:rPr>
          <w:rFonts w:ascii="Times New Roman;Times;serif" w:hAnsi="Times New Roman;Times;serif"/>
          <w:i/>
          <w:color w:val="000000"/>
          <w:sz w:val="20"/>
        </w:rPr>
        <w:t>plus</w:t>
      </w:r>
      <w:r>
        <w:rPr>
          <w:rFonts w:ascii="Times New Roman;Times;serif" w:hAnsi="Times New Roman;Times;serif"/>
          <w:color w:val="000000"/>
          <w:sz w:val="20"/>
        </w:rPr>
        <w:t>, if applicable, any accrued and unpaid interest thereon) in an amount equal to the applicable conversion. The Holder and the Company shall maintain records showing the principal amount(s) (</w:t>
      </w:r>
      <w:r>
        <w:rPr>
          <w:rFonts w:ascii="Times New Roman;Times;serif" w:hAnsi="Times New Roman;Times;serif"/>
          <w:i/>
          <w:color w:val="000000"/>
          <w:sz w:val="20"/>
        </w:rPr>
        <w:t>plus</w:t>
      </w:r>
      <w:r>
        <w:rPr>
          <w:rFonts w:ascii="Times New Roman;Times;serif" w:hAnsi="Times New Roman;Times;serif"/>
          <w:color w:val="000000"/>
          <w:sz w:val="20"/>
        </w:rPr>
        <w:t xml:space="preserve">, if applicable, any accrued and unpaid interest thereon) converted and the date of such conversion(s). The Company may deliver an objection to any Notice of Conversion within one (1) Business Day of delivery of such Notice of Conversion. In the event of any dispute or discrepancy, the records of the Holder shall be controlling and determinative in the absence of manifest error. </w:t>
      </w:r>
      <w:r>
        <w:rPr>
          <w:rFonts w:ascii="Times New Roman;Times;serif" w:hAnsi="Times New Roman;Times;serif"/>
          <w:b/>
          <w:color w:val="000000"/>
          <w:sz w:val="20"/>
        </w:rPr>
        <w:t>The Holder</w:t>
      </w:r>
      <w:r>
        <w:rPr>
          <w:rFonts w:ascii="Times New Roman;Times;serif" w:hAnsi="Times New Roman;Times;serif"/>
          <w:color w:val="000000"/>
          <w:sz w:val="20"/>
        </w:rPr>
        <w:t xml:space="preserve">, </w:t>
      </w:r>
      <w:r>
        <w:rPr>
          <w:rFonts w:ascii="Times New Roman;Times;serif" w:hAnsi="Times New Roman;Times;serif"/>
          <w:b/>
          <w:color w:val="000000"/>
          <w:sz w:val="20"/>
        </w:rPr>
        <w:t>and any assignee by acceptance of this Note</w:t>
      </w:r>
      <w:r>
        <w:rPr>
          <w:rFonts w:ascii="Times New Roman;Times;serif" w:hAnsi="Times New Roman;Times;serif"/>
          <w:color w:val="000000"/>
          <w:sz w:val="20"/>
        </w:rPr>
        <w:t xml:space="preserve">, </w:t>
      </w:r>
      <w:r>
        <w:rPr>
          <w:rFonts w:ascii="Times New Roman;Times;serif" w:hAnsi="Times New Roman;Times;serif"/>
          <w:b/>
          <w:color w:val="000000"/>
          <w:sz w:val="20"/>
        </w:rPr>
        <w:t>acknowledge and agree that</w:t>
      </w:r>
      <w:r>
        <w:rPr>
          <w:rFonts w:ascii="Times New Roman;Times;serif" w:hAnsi="Times New Roman;Times;serif"/>
          <w:color w:val="000000"/>
          <w:sz w:val="20"/>
        </w:rPr>
        <w:t xml:space="preserve">, </w:t>
      </w:r>
      <w:r>
        <w:rPr>
          <w:rFonts w:ascii="Times New Roman;Times;serif" w:hAnsi="Times New Roman;Times;serif"/>
          <w:b/>
          <w:color w:val="000000"/>
          <w:sz w:val="20"/>
        </w:rPr>
        <w:t>by reason of the provisions of this paragraph</w:t>
      </w:r>
      <w:r>
        <w:rPr>
          <w:rFonts w:ascii="Times New Roman;Times;serif" w:hAnsi="Times New Roman;Times;serif"/>
          <w:color w:val="000000"/>
          <w:sz w:val="20"/>
        </w:rPr>
        <w:t xml:space="preserve">, </w:t>
      </w:r>
      <w:r>
        <w:rPr>
          <w:rFonts w:ascii="Times New Roman;Times;serif" w:hAnsi="Times New Roman;Times;serif"/>
          <w:b/>
          <w:color w:val="000000"/>
          <w:sz w:val="20"/>
        </w:rPr>
        <w:t>following conversion of a portion of this Note</w:t>
      </w:r>
      <w:r>
        <w:rPr>
          <w:rFonts w:ascii="Times New Roman;Times;serif" w:hAnsi="Times New Roman;Times;serif"/>
          <w:color w:val="000000"/>
          <w:sz w:val="20"/>
        </w:rPr>
        <w:t xml:space="preserve">, </w:t>
      </w:r>
      <w:r>
        <w:rPr>
          <w:rFonts w:ascii="Times New Roman;Times;serif" w:hAnsi="Times New Roman;Times;serif"/>
          <w:b/>
          <w:color w:val="000000"/>
          <w:sz w:val="20"/>
        </w:rPr>
        <w:t>the unpaid and unconverted principal amount of this Note may be less than the amount stated on the face hereof</w:t>
      </w:r>
      <w:r>
        <w:rPr>
          <w:rFonts w:ascii="Times New Roman;Times;serif" w:hAnsi="Times New Roman;Times;serif"/>
          <w:color w:val="000000"/>
          <w:sz w:val="20"/>
        </w:rPr>
        <w:t>.</w:t>
      </w:r>
    </w:p>
    <w:p>
      <w:pPr>
        <w:pStyle w:val="TextBody"/>
        <w:bidi w:val="0"/>
        <w:spacing w:lineRule="auto" w:line="300"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A - 6</w:t>
      </w:r>
    </w:p>
    <w:p>
      <w:pPr>
        <w:pStyle w:val="HorizontalLine"/>
        <w:pBdr>
          <w:bottom w:val="single" w:sz="12" w:space="0" w:color="808080"/>
        </w:pBdr>
        <w:bidi w:val="0"/>
        <w:spacing w:lineRule="auto" w:line="300" w:before="200" w:after="200"/>
        <w:jc w:val="left"/>
        <w:rPr/>
      </w:pPr>
      <w:r>
        <w:rPr/>
      </w:r>
    </w:p>
    <w:p>
      <w:pPr>
        <w:pStyle w:val="TextBody"/>
        <w:bidi w:val="0"/>
        <w:spacing w:lineRule="auto" w:line="300" w:before="0" w:after="0"/>
        <w:ind w:left="720" w:right="0" w:firstLine="810"/>
        <w:jc w:val="both"/>
        <w:rPr>
          <w:rFonts w:ascii="Times New Roman;Times;serif" w:hAnsi="Times New Roman;Times;serif"/>
          <w:color w:val="000000"/>
          <w:sz w:val="20"/>
        </w:rPr>
      </w:pPr>
      <w:r>
        <w:rPr>
          <w:rFonts w:ascii="Times New Roman;Times;serif" w:hAnsi="Times New Roman;Times;serif"/>
          <w:color w:val="000000"/>
          <w:sz w:val="20"/>
        </w:rPr>
        <w:t>(b)          </w:t>
      </w:r>
      <w:r>
        <w:rPr>
          <w:rFonts w:ascii="Times New Roman;Times;serif" w:hAnsi="Times New Roman;Times;serif"/>
          <w:color w:val="000000"/>
          <w:sz w:val="20"/>
          <w:u w:val="single"/>
        </w:rPr>
        <w:t>Conversion Price</w:t>
      </w:r>
      <w:r>
        <w:rPr>
          <w:rFonts w:ascii="Times New Roman;Times;serif" w:hAnsi="Times New Roman;Times;serif"/>
          <w:color w:val="000000"/>
          <w:sz w:val="20"/>
        </w:rPr>
        <w:t>.  The conversion price in effect on any Conversion Date shall be equal to $5.40, subject to adjustment as provided herein (the “</w:t>
      </w:r>
      <w:r>
        <w:rPr>
          <w:rFonts w:ascii="Times New Roman;Times;serif" w:hAnsi="Times New Roman;Times;serif"/>
          <w:color w:val="000000"/>
          <w:sz w:val="20"/>
          <w:u w:val="single"/>
        </w:rPr>
        <w:t>Conversion Price</w:t>
      </w:r>
      <w:r>
        <w:rPr>
          <w:rFonts w:ascii="Times New Roman;Times;serif" w:hAnsi="Times New Roman;Times;serif"/>
          <w:color w:val="000000"/>
          <w:sz w:val="20"/>
        </w:rPr>
        <w:t>”).</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810"/>
        <w:jc w:val="both"/>
        <w:rPr>
          <w:rFonts w:ascii="Times New Roman;Times;serif" w:hAnsi="Times New Roman;Times;serif"/>
          <w:color w:val="000000"/>
          <w:sz w:val="20"/>
        </w:rPr>
      </w:pPr>
      <w:r>
        <w:rPr>
          <w:rFonts w:ascii="Times New Roman;Times;serif" w:hAnsi="Times New Roman;Times;serif"/>
          <w:color w:val="000000"/>
          <w:sz w:val="20"/>
        </w:rPr>
        <w:t>(c)          </w:t>
      </w:r>
      <w:r>
        <w:rPr>
          <w:rFonts w:ascii="Times New Roman;Times;serif" w:hAnsi="Times New Roman;Times;serif"/>
          <w:color w:val="000000"/>
          <w:sz w:val="20"/>
          <w:u w:val="single"/>
        </w:rPr>
        <w:t>Mechanics of Conversion</w:t>
      </w:r>
      <w:r>
        <w:rPr>
          <w:rFonts w:ascii="Times New Roman;Times;serif" w:hAnsi="Times New Roman;Times;serif"/>
          <w:color w:val="000000"/>
          <w:sz w:val="20"/>
        </w:rPr>
        <w:t>.</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1440" w:right="0" w:firstLine="720"/>
        <w:jc w:val="both"/>
        <w:rPr>
          <w:rFonts w:ascii="Times New Roman;Times;serif" w:hAnsi="Times New Roman;Times;serif"/>
          <w:color w:val="000000"/>
          <w:sz w:val="20"/>
        </w:rPr>
      </w:pPr>
      <w:r>
        <w:rPr>
          <w:rFonts w:ascii="Times New Roman;Times;serif" w:hAnsi="Times New Roman;Times;serif"/>
          <w:color w:val="000000"/>
          <w:sz w:val="20"/>
        </w:rPr>
        <w:t>(i)          </w:t>
      </w:r>
      <w:r>
        <w:rPr>
          <w:rFonts w:ascii="Times New Roman;Times;serif" w:hAnsi="Times New Roman;Times;serif"/>
          <w:color w:val="000000"/>
          <w:sz w:val="20"/>
          <w:u w:val="single"/>
        </w:rPr>
        <w:t>Conversion Shares Issuable Upon Conversion</w:t>
      </w:r>
      <w:r>
        <w:rPr>
          <w:rFonts w:ascii="Times New Roman;Times;serif" w:hAnsi="Times New Roman;Times;serif"/>
          <w:color w:val="000000"/>
          <w:sz w:val="20"/>
        </w:rPr>
        <w:t xml:space="preserve">. The number of Conversion Shares issuable upon a conversion hereunder shall be determined by the quotient obtained by dividing (x) the outstanding principal amount of this Note to be converted </w:t>
      </w:r>
      <w:r>
        <w:rPr>
          <w:rFonts w:ascii="Times New Roman;Times;serif" w:hAnsi="Times New Roman;Times;serif"/>
          <w:i/>
          <w:color w:val="000000"/>
          <w:sz w:val="20"/>
        </w:rPr>
        <w:t>plus</w:t>
      </w:r>
      <w:r>
        <w:rPr>
          <w:rFonts w:ascii="Times New Roman;Times;serif" w:hAnsi="Times New Roman;Times;serif"/>
          <w:color w:val="000000"/>
          <w:sz w:val="20"/>
        </w:rPr>
        <w:t>, at the option of the Holder, all accrued and unpaid interest thereon (the “</w:t>
      </w:r>
      <w:r>
        <w:rPr>
          <w:rFonts w:ascii="Times New Roman;Times;serif" w:hAnsi="Times New Roman;Times;serif"/>
          <w:color w:val="000000"/>
          <w:sz w:val="20"/>
          <w:u w:val="single"/>
        </w:rPr>
        <w:t>Conversion Amount</w:t>
      </w:r>
      <w:r>
        <w:rPr>
          <w:rFonts w:ascii="Times New Roman;Times;serif" w:hAnsi="Times New Roman;Times;serif"/>
          <w:color w:val="000000"/>
          <w:sz w:val="20"/>
        </w:rPr>
        <w:t>”) by (y) the Conversion Price.</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1440" w:right="0" w:firstLine="720"/>
        <w:jc w:val="both"/>
        <w:rPr>
          <w:rFonts w:ascii="Times New Roman;Times;serif" w:hAnsi="Times New Roman;Times;serif"/>
          <w:color w:val="000000"/>
          <w:sz w:val="20"/>
        </w:rPr>
      </w:pPr>
      <w:r>
        <w:rPr>
          <w:rFonts w:ascii="Times New Roman;Times;serif" w:hAnsi="Times New Roman;Times;serif"/>
          <w:color w:val="000000"/>
          <w:sz w:val="20"/>
        </w:rPr>
        <w:t>(ii)          </w:t>
      </w:r>
      <w:r>
        <w:rPr>
          <w:rFonts w:ascii="Times New Roman;Times;serif" w:hAnsi="Times New Roman;Times;serif"/>
          <w:color w:val="000000"/>
          <w:sz w:val="20"/>
          <w:u w:val="single"/>
        </w:rPr>
        <w:t>Delivery of Conversion Shares Upon Conversion</w:t>
      </w:r>
      <w:r>
        <w:rPr>
          <w:rFonts w:ascii="Times New Roman;Times;serif" w:hAnsi="Times New Roman;Times;serif"/>
          <w:color w:val="000000"/>
          <w:sz w:val="20"/>
        </w:rPr>
        <w:t>. Not later than the earlier of (i) one (1) Trading Day and (ii) the number of Trading Days comprising the Standard Settlement Period (as defined below) after each Conversion Date (the “</w:t>
      </w:r>
      <w:r>
        <w:rPr>
          <w:rFonts w:ascii="Times New Roman;Times;serif" w:hAnsi="Times New Roman;Times;serif"/>
          <w:color w:val="000000"/>
          <w:sz w:val="20"/>
          <w:u w:val="single"/>
        </w:rPr>
        <w:t>Share Delivery Date</w:t>
      </w:r>
      <w:r>
        <w:rPr>
          <w:rFonts w:ascii="Times New Roman;Times;serif" w:hAnsi="Times New Roman;Times;serif"/>
          <w:color w:val="000000"/>
          <w:sz w:val="20"/>
        </w:rPr>
        <w:t xml:space="preserve">”), the Company shall deliver, or cause to be delivered, to the Holder (A) a certificate or book entry statement representing the Conversion Shares to be acquired upon conversion of this Note, which, following the Legend Removal Date, shall be free of restrictive legends and trading restrictions (other than those which may then be required by the Purchase Agreement) and (B) </w:t>
      </w:r>
      <w:r>
        <w:rPr>
          <w:rFonts w:ascii="Times New Roman;Times;serif" w:hAnsi="Times New Roman;Times;serif"/>
          <w:i/>
          <w:color w:val="000000"/>
          <w:sz w:val="20"/>
        </w:rPr>
        <w:t>plus</w:t>
      </w:r>
      <w:r>
        <w:rPr>
          <w:rFonts w:ascii="Times New Roman;Times;serif" w:hAnsi="Times New Roman;Times;serif"/>
          <w:color w:val="000000"/>
          <w:sz w:val="20"/>
        </w:rPr>
        <w:t xml:space="preserve">, if the Holder has not elected to include accrued and unpaid interest in the Conversion Amount pursuant to Section 4(c)(i) above, a certified check (or wire transfer) in the amount of such accrued and unpaid interest. Except in the case of any certificate or book entry statement bearing a restrictive legend, all Conversion Shares required to be delivered by the Company under this </w:t>
      </w:r>
      <w:r>
        <w:rPr>
          <w:rFonts w:ascii="Times New Roman;Times;serif" w:hAnsi="Times New Roman;Times;serif"/>
          <w:color w:val="000000"/>
          <w:sz w:val="20"/>
          <w:u w:val="single"/>
        </w:rPr>
        <w:t>Section 4(c)</w:t>
      </w:r>
      <w:r>
        <w:rPr>
          <w:rFonts w:ascii="Times New Roman;Times;serif" w:hAnsi="Times New Roman;Times;serif"/>
          <w:color w:val="000000"/>
          <w:sz w:val="20"/>
        </w:rPr>
        <w:t xml:space="preserve"> shall be delivered electronically through the Depository Trust Company or another established clearing corporation performing similar functions. If the Conversion Date is prior to the Legend Removal Date, then the Conversion Shares shall bear a restrictive legend in the following form, as appropriate:</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hanging="0"/>
        <w:jc w:val="both"/>
        <w:rPr>
          <w:color w:val="000000"/>
        </w:rPr>
      </w:pPr>
      <w:r>
        <w:rPr>
          <w:color w:val="000000"/>
        </w:rPr>
        <w:t>“</w:t>
      </w:r>
      <w:r>
        <w:rPr>
          <w:rFonts w:ascii="Times New Roman;Times;serif" w:hAnsi="Times New Roman;Times;serif"/>
          <w:color w:val="000000"/>
          <w:sz w:val="20"/>
        </w:rPr>
        <w:t>THE ISSUANCE AND SALE OF THE SECURITIES REPRESENTED BY THIS CERTIFICATE HAS NOT BEEN REGISTERED UNDER THE SECURITIES ACT OF 1933, AS AMENDED, OR APPLICABLE STATE SECURITIES LAWS. THE SECURITIES MAY NOT BE OFFERED FOR SALE, SOLD, TRANSFERRED OR ASSIGNED (I) IN THE ABSENCE OF (A) AN EFFECTIVE REGISTRATION STATEMENT FOR THE SECURITIES UNDER THE SECURITIES ACT OF 1933, AS AMENDED, OR (B) AN OPINION OF COUNSEL (WHICH COUNSEL SHALL BE SELECTED BY THE HOLDER), IN A GENERALLY ACCEPTABLE FORM, THAT REGISTRATION IS NOT REQUIRED UNDER SAID ACT OR (II) UNLESS SOLD PURSUANT TO RULE 144 OR RULE 144A UNDER SAID ACT. NOTWITHSTANDING THE FOREGOING, THE SECURITIES MAY BE PLEDGED IN CONNECTION WITH A BONA FIDE MARGIN ACCOUNT OR OTHER LOAN OR FINANCING ARRANGEMENT SECURED BY THE SECURITIES.”</w:t>
      </w:r>
    </w:p>
    <w:p>
      <w:pPr>
        <w:pStyle w:val="TextBody"/>
        <w:bidi w:val="0"/>
        <w:spacing w:lineRule="auto" w:line="300"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A - 7</w:t>
      </w:r>
    </w:p>
    <w:p>
      <w:pPr>
        <w:pStyle w:val="HorizontalLine"/>
        <w:pBdr>
          <w:bottom w:val="single" w:sz="12" w:space="0" w:color="808080"/>
        </w:pBdr>
        <w:bidi w:val="0"/>
        <w:spacing w:lineRule="auto" w:line="300" w:before="200" w:after="200"/>
        <w:jc w:val="left"/>
        <w:rPr/>
      </w:pPr>
      <w:r>
        <w:rPr/>
      </w:r>
    </w:p>
    <w:p>
      <w:pPr>
        <w:pStyle w:val="TextBody"/>
        <w:bidi w:val="0"/>
        <w:spacing w:lineRule="auto" w:line="300" w:before="0" w:after="0"/>
        <w:ind w:left="810" w:right="0" w:firstLine="630"/>
        <w:jc w:val="both"/>
        <w:rPr>
          <w:rFonts w:ascii="Times New Roman;Times;serif" w:hAnsi="Times New Roman;Times;serif"/>
          <w:color w:val="000000"/>
          <w:sz w:val="20"/>
        </w:rPr>
      </w:pPr>
      <w:r>
        <w:rPr>
          <w:rFonts w:ascii="Times New Roman;Times;serif" w:hAnsi="Times New Roman;Times;serif"/>
          <w:color w:val="000000"/>
          <w:sz w:val="20"/>
        </w:rPr>
        <w:t>As used herein, “</w:t>
      </w:r>
      <w:r>
        <w:rPr>
          <w:rFonts w:ascii="Times New Roman;Times;serif" w:hAnsi="Times New Roman;Times;serif"/>
          <w:color w:val="000000"/>
          <w:sz w:val="20"/>
          <w:u w:val="single"/>
        </w:rPr>
        <w:t>Standard Settlement Period</w:t>
      </w:r>
      <w:r>
        <w:rPr>
          <w:rFonts w:ascii="Times New Roman;Times;serif" w:hAnsi="Times New Roman;Times;serif"/>
          <w:color w:val="000000"/>
          <w:sz w:val="20"/>
        </w:rPr>
        <w:t>” means the standard settlement period, expressed in a number of Trading Days, on the Company’s primary Trading Market with respect to the Ordinary Shares as in effect on the date of delivery of the Notice of Conversion.</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1440" w:right="0" w:firstLine="720"/>
        <w:jc w:val="both"/>
        <w:rPr>
          <w:rFonts w:ascii="Times New Roman;Times;serif" w:hAnsi="Times New Roman;Times;serif"/>
          <w:color w:val="000000"/>
          <w:sz w:val="20"/>
        </w:rPr>
      </w:pPr>
      <w:r>
        <w:rPr>
          <w:rFonts w:ascii="Times New Roman;Times;serif" w:hAnsi="Times New Roman;Times;serif"/>
          <w:color w:val="000000"/>
          <w:sz w:val="20"/>
        </w:rPr>
        <w:t>(iii)          </w:t>
      </w:r>
      <w:r>
        <w:rPr>
          <w:rFonts w:ascii="Times New Roman;Times;serif" w:hAnsi="Times New Roman;Times;serif"/>
          <w:color w:val="000000"/>
          <w:sz w:val="20"/>
          <w:u w:val="single"/>
        </w:rPr>
        <w:t>Failure to Deliver Conversion Shares</w:t>
      </w:r>
      <w:r>
        <w:rPr>
          <w:rFonts w:ascii="Times New Roman;Times;serif" w:hAnsi="Times New Roman;Times;serif"/>
          <w:color w:val="000000"/>
          <w:sz w:val="20"/>
        </w:rPr>
        <w:t>.  If, in the case of any Notice of Conversion, such Conversion Shares are not delivered to or as directed by the applicable Holder by the Share Delivery Date, the Holder shall be entitled to elect by written notice to the Company at any time on or before its receipt of such Conversion Shares, to rescind such conversion, in which event the Company shall promptly return to the Holder any original Note delivered to the Company and the Holder shall promptly return to the Company the Conversion Shares issued to such Holder pursuant to the rescinded Conversion Notice.</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1440" w:right="0" w:firstLine="720"/>
        <w:jc w:val="both"/>
        <w:rPr>
          <w:rFonts w:ascii="Times New Roman;Times;serif" w:hAnsi="Times New Roman;Times;serif"/>
          <w:color w:val="000000"/>
          <w:sz w:val="20"/>
        </w:rPr>
      </w:pPr>
      <w:r>
        <w:rPr>
          <w:rFonts w:ascii="Times New Roman;Times;serif" w:hAnsi="Times New Roman;Times;serif"/>
          <w:color w:val="000000"/>
          <w:sz w:val="20"/>
        </w:rPr>
        <w:t>(iv)          </w:t>
      </w:r>
      <w:r>
        <w:rPr>
          <w:rFonts w:ascii="Times New Roman;Times;serif" w:hAnsi="Times New Roman;Times;serif"/>
          <w:color w:val="000000"/>
          <w:sz w:val="20"/>
          <w:u w:val="single"/>
        </w:rPr>
        <w:t>Obligation Absolute</w:t>
      </w:r>
      <w:r>
        <w:rPr>
          <w:rFonts w:ascii="Times New Roman;Times;serif" w:hAnsi="Times New Roman;Times;serif"/>
          <w:color w:val="000000"/>
          <w:sz w:val="20"/>
        </w:rPr>
        <w:t xml:space="preserve">.  The Company’s obligations to issue and deliver the Conversion Shares upon conversion of this Note in accordance with the terms hereof are absolute and unconditional, irrespective of any action or inaction by the Holder to enforce the same, any waiver or consent with respect to any provision hereof, the recovery of any judgment against any Person or any action to enforce the same, or any setoff, counterclaim, recoupment, limitation or termination, or any breach or alleged breach by the Holder or any other Person of any obligation to the Company or any violation or alleged violation of law by the Holder or any other Person, and irrespective of any other circumstance which might otherwise limit such obligation of the Company to the Holder in connection with the issuance of such Conversion Shares;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however</w:t>
      </w:r>
      <w:r>
        <w:rPr>
          <w:rFonts w:ascii="Times New Roman;Times;serif" w:hAnsi="Times New Roman;Times;serif"/>
          <w:color w:val="000000"/>
          <w:sz w:val="20"/>
        </w:rPr>
        <w:t>, that such delivery shall not operate as a waiver by the Company of any such action the Company may have against the Holder.  In the event the Holder of this Note shall elect to convert any or all of the outstanding principal amount hereof (</w:t>
      </w:r>
      <w:r>
        <w:rPr>
          <w:rFonts w:ascii="Times New Roman;Times;serif" w:hAnsi="Times New Roman;Times;serif"/>
          <w:i/>
          <w:color w:val="000000"/>
          <w:sz w:val="20"/>
        </w:rPr>
        <w:t>plus</w:t>
      </w:r>
      <w:r>
        <w:rPr>
          <w:rFonts w:ascii="Times New Roman;Times;serif" w:hAnsi="Times New Roman;Times;serif"/>
          <w:color w:val="000000"/>
          <w:sz w:val="20"/>
        </w:rPr>
        <w:t xml:space="preserve">, if applicable, any accrued and unpaid interest thereon), the Company may not refuse conversion based on any claim that the Holder or anyone associated or affiliated with the Holder has been engaged in any violation of law, agreement or for any other reason, unless an injunction from a court, on notice to Holder, restraining and or enjoining conversion of all or part of this Note shall have been sought and obtained, and the Company posts a surety bond for the benefit of the Holder in the amount of 150% of the outstanding principal amount of this Note, which is subject to the injunction, which bond shall remain in effect until the completion of arbitration/litigation of the underlying dispute and the proceeds of which shall be payable to the Holder to the extent it obtains judgment.  In the absence of such injunction, the Company shall issue Conversion Shares required to be delivered hereunder in accordance with the terms hereof or, if applicable, cash, upon a properly noticed conversion. If the Company fails for any reason to deliver to the Holder such certificate or book entry statement pursuant to Section 4(c)(ii) by the Share Delivery Date, the Company shall pay to the Holder, in cash, as liquidated damages and not as a penalty, for each $1,000 of principal amount being converted, $10 per Trading Day (increasing to $20 per Trading Day on the fifth (5th) Trading Day after such liquidated damages begin to accrue) for each Trading Day after such Share Delivery Date until such certificates are delivered or Holder rescinds such conversion. Nothing herein shall limit a Holder’s right to pursue actual damages or declare an Event of Default pursuant to </w:t>
      </w:r>
      <w:r>
        <w:rPr>
          <w:rFonts w:ascii="Times New Roman;Times;serif" w:hAnsi="Times New Roman;Times;serif"/>
          <w:color w:val="000000"/>
          <w:sz w:val="20"/>
          <w:u w:val="single"/>
        </w:rPr>
        <w:t>Section 8</w:t>
      </w:r>
      <w:r>
        <w:rPr>
          <w:rFonts w:ascii="Times New Roman;Times;serif" w:hAnsi="Times New Roman;Times;serif"/>
          <w:color w:val="000000"/>
          <w:sz w:val="20"/>
        </w:rPr>
        <w:t xml:space="preserve"> for the Company’s failure to deliver Conversion Shares within the period specified herein and the Holder shall have the right to pursue all remedies available to it hereunder, at law or in equity including, without limitation, a decree of specific performance and/or injunctive relief.  The exercise of any such rights shall not prohibit the Holder from seeking to enforce damages pursuant to any other Section hereof or under applicable law.</w:t>
      </w:r>
    </w:p>
    <w:p>
      <w:pPr>
        <w:pStyle w:val="TextBody"/>
        <w:bidi w:val="0"/>
        <w:spacing w:lineRule="auto" w:line="300"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A - 8</w:t>
      </w:r>
    </w:p>
    <w:p>
      <w:pPr>
        <w:pStyle w:val="HorizontalLine"/>
        <w:pBdr>
          <w:bottom w:val="single" w:sz="12" w:space="0" w:color="808080"/>
        </w:pBdr>
        <w:bidi w:val="0"/>
        <w:spacing w:lineRule="auto" w:line="300" w:before="200" w:after="200"/>
        <w:jc w:val="left"/>
        <w:rPr/>
      </w:pPr>
      <w:r>
        <w:rPr/>
      </w:r>
    </w:p>
    <w:p>
      <w:pPr>
        <w:pStyle w:val="TextBody"/>
        <w:bidi w:val="0"/>
        <w:spacing w:lineRule="auto" w:line="300" w:before="0" w:after="0"/>
        <w:ind w:left="1440" w:right="0" w:firstLine="720"/>
        <w:jc w:val="both"/>
        <w:rPr>
          <w:rFonts w:ascii="Times New Roman;Times;serif" w:hAnsi="Times New Roman;Times;serif"/>
          <w:color w:val="000000"/>
          <w:sz w:val="20"/>
        </w:rPr>
      </w:pPr>
      <w:r>
        <w:rPr>
          <w:rFonts w:ascii="Times New Roman;Times;serif" w:hAnsi="Times New Roman;Times;serif"/>
          <w:color w:val="000000"/>
          <w:sz w:val="20"/>
        </w:rPr>
        <w:t>(v)          </w:t>
      </w:r>
      <w:r>
        <w:rPr>
          <w:rFonts w:ascii="Times New Roman;Times;serif" w:hAnsi="Times New Roman;Times;serif"/>
          <w:color w:val="000000"/>
          <w:sz w:val="20"/>
          <w:u w:val="single"/>
        </w:rPr>
        <w:t>Compensation for Buy-In on Failure to Timely Deliver Conversion Shares Upon Conversion</w:t>
      </w:r>
      <w:r>
        <w:rPr>
          <w:rFonts w:ascii="Times New Roman;Times;serif" w:hAnsi="Times New Roman;Times;serif"/>
          <w:color w:val="000000"/>
          <w:sz w:val="20"/>
        </w:rPr>
        <w:t xml:space="preserve">. In addition to any other rights available to the Holder, if the Company fails for any reason to deliver to the Holder such Conversion Shares by the Share Delivery Date pursuant to </w:t>
      </w:r>
      <w:r>
        <w:rPr>
          <w:rFonts w:ascii="Times New Roman;Times;serif" w:hAnsi="Times New Roman;Times;serif"/>
          <w:color w:val="000000"/>
          <w:sz w:val="20"/>
          <w:u w:val="single"/>
        </w:rPr>
        <w:t>Section 4(c)(ii)</w:t>
      </w:r>
      <w:r>
        <w:rPr>
          <w:rFonts w:ascii="Times New Roman;Times;serif" w:hAnsi="Times New Roman;Times;serif"/>
          <w:color w:val="000000"/>
          <w:sz w:val="20"/>
        </w:rPr>
        <w:t>, and if after such Share Delivery Date the Holder is required by its brokerage firm to purchase (in an open market transaction or otherwise), or the Holder’s brokerage firm otherwise purchases, Ordinary Shares to deliver in satisfaction of a sale by the Holder of the Conversion Shares which the Holder was entitled to receive upon the conversion relating to such Share Delivery Date (a “</w:t>
      </w:r>
      <w:r>
        <w:rPr>
          <w:rFonts w:ascii="Times New Roman;Times;serif" w:hAnsi="Times New Roman;Times;serif"/>
          <w:color w:val="000000"/>
          <w:sz w:val="20"/>
          <w:u w:val="single"/>
        </w:rPr>
        <w:t>Buy-In</w:t>
      </w:r>
      <w:r>
        <w:rPr>
          <w:rFonts w:ascii="Times New Roman;Times;serif" w:hAnsi="Times New Roman;Times;serif"/>
          <w:color w:val="000000"/>
          <w:sz w:val="20"/>
        </w:rPr>
        <w:t>”), then the Company shall (A) pay in cash to the Holder (in addition to any other remedies available to or elected by the Holder) the amount, if any, by which (x) the Holder’s total purchase price (including any brokerage commissions) for the Ordinary Shares so purchased exceeds (y) the product of (1) the aggregate number of Ordinary Shares that the Holder was entitled to receive from the conversion at issue multiplied by (2) the actual sale price at which the sell order giving rise to such purchase obligation was executed (including any brokerage commissions) and (B) at the option of the Holder, either reissue (if surrendered) this Note in a principal amount equal to the principal amount (</w:t>
      </w:r>
      <w:r>
        <w:rPr>
          <w:rFonts w:ascii="Times New Roman;Times;serif" w:hAnsi="Times New Roman;Times;serif"/>
          <w:i/>
          <w:color w:val="000000"/>
          <w:sz w:val="20"/>
        </w:rPr>
        <w:t>plus</w:t>
      </w:r>
      <w:r>
        <w:rPr>
          <w:rFonts w:ascii="Times New Roman;Times;serif" w:hAnsi="Times New Roman;Times;serif"/>
          <w:color w:val="000000"/>
          <w:sz w:val="20"/>
        </w:rPr>
        <w:t xml:space="preserve">, if applicable, any accrued and unpaid interest thereon) of the attempted conversion (in which case such conversion shall be deemed rescinded) or deliver to the Holder the number of Ordinary Shares that would have been issued if the Company had timely complied with its delivery requirements under </w:t>
      </w:r>
      <w:r>
        <w:rPr>
          <w:rFonts w:ascii="Times New Roman;Times;serif" w:hAnsi="Times New Roman;Times;serif"/>
          <w:color w:val="000000"/>
          <w:sz w:val="20"/>
          <w:u w:val="single"/>
        </w:rPr>
        <w:t>Section 4(c)(ii)</w:t>
      </w:r>
      <w:r>
        <w:rPr>
          <w:rFonts w:ascii="Times New Roman;Times;serif" w:hAnsi="Times New Roman;Times;serif"/>
          <w:color w:val="000000"/>
          <w:sz w:val="20"/>
        </w:rPr>
        <w:t>.  For example, if the Holder purchases Ordinary Shares having a total purchase price of $11,000 to cover a Buy-In with respect to an attempted conversion of this Note with respect to which the actual sale price of the Conversion Shares (including any brokerage commissions) giving rise to such purchase obligation was a total of $10,000 under clause (A) of the immediately preceding sentence, the Company shall be required to pay the Holder $1,000.  The Holder shall provide the Company written notice indicating the amounts payable to the Holder in respect of the Buy-In and, upon request of the Company, evidence of the amount of such loss.  Nothing herein shall limit a Holder’s right to pursue any other remedies available to it hereunder, at law or in equity including, without limitation, a decree of specific performance and/or injunctive relief with respect to the Company’s failure to timely deliver Conversion Shares upon conversion of this Note as required pursuant to the terms hereof.</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1440" w:right="0" w:firstLine="720"/>
        <w:jc w:val="both"/>
        <w:rPr>
          <w:rFonts w:ascii="Times New Roman;Times;serif" w:hAnsi="Times New Roman;Times;serif"/>
          <w:color w:val="000000"/>
          <w:sz w:val="20"/>
        </w:rPr>
      </w:pPr>
      <w:r>
        <w:rPr>
          <w:rFonts w:ascii="Times New Roman;Times;serif" w:hAnsi="Times New Roman;Times;serif"/>
          <w:color w:val="000000"/>
          <w:sz w:val="20"/>
        </w:rPr>
        <w:t>(vi)          </w:t>
      </w:r>
      <w:r>
        <w:rPr>
          <w:rFonts w:ascii="Times New Roman;Times;serif" w:hAnsi="Times New Roman;Times;serif"/>
          <w:color w:val="000000"/>
          <w:sz w:val="20"/>
          <w:u w:val="single"/>
        </w:rPr>
        <w:t>Reservation of Shares Issuable Upon Conversion</w:t>
      </w:r>
      <w:r>
        <w:rPr>
          <w:rFonts w:ascii="Times New Roman;Times;serif" w:hAnsi="Times New Roman;Times;serif"/>
          <w:color w:val="000000"/>
          <w:sz w:val="20"/>
        </w:rPr>
        <w:t>. The Company covenants that it will at all times reserve and keep available out of its authorized and unissued Ordinary Shares for the sole purpose of issuance upon conversion of this Note, each as herein provided, free from preemptive rights or any other actual contingent purchase rights of Persons other than the Holder (and the other holders of the Notes), not less than 100% of such aggregate number of Ordinary Shares as shall (subject to the terms and conditions set forth in the Purchase Agreement) be issuable (taking into account the adjustments and restrictions of Section 5) upon the conversion of the then outstanding principal amount of this Note (</w:t>
      </w:r>
      <w:r>
        <w:rPr>
          <w:rFonts w:ascii="Times New Roman;Times;serif" w:hAnsi="Times New Roman;Times;serif"/>
          <w:i/>
          <w:color w:val="000000"/>
          <w:sz w:val="20"/>
        </w:rPr>
        <w:t>plus</w:t>
      </w:r>
      <w:r>
        <w:rPr>
          <w:rFonts w:ascii="Times New Roman;Times;serif" w:hAnsi="Times New Roman;Times;serif"/>
          <w:color w:val="000000"/>
          <w:sz w:val="20"/>
        </w:rPr>
        <w:t>, if applicable, any accrued and unpaid interest thereon) at the Conversion Price then in effect (the “</w:t>
      </w:r>
      <w:r>
        <w:rPr>
          <w:rFonts w:ascii="Times New Roman;Times;serif" w:hAnsi="Times New Roman;Times;serif"/>
          <w:color w:val="000000"/>
          <w:sz w:val="20"/>
          <w:u w:val="single"/>
        </w:rPr>
        <w:t>Required Reserve Amount</w:t>
      </w:r>
      <w:r>
        <w:rPr>
          <w:rFonts w:ascii="Times New Roman;Times;serif" w:hAnsi="Times New Roman;Times;serif"/>
          <w:color w:val="000000"/>
          <w:sz w:val="20"/>
        </w:rPr>
        <w:t>”).  The Company covenants that all Ordinary Shares that shall be so issuable shall, upon issue, be duly authorized, validly issued, fully paid and nonassessable. If, notwithstanding this Section 4(c)(vi), and not in limitation thereof, at any time while any of the Notes remain outstanding, the Company does not have a sufficient number of authorized and unreserved Ordinary Shares to satisfy its obligation to reserve the Required Reserve Amount (an “</w:t>
      </w:r>
      <w:r>
        <w:rPr>
          <w:rFonts w:ascii="Times New Roman;Times;serif" w:hAnsi="Times New Roman;Times;serif"/>
          <w:color w:val="000000"/>
          <w:sz w:val="20"/>
          <w:u w:val="single"/>
        </w:rPr>
        <w:t>Authorized Share Failure</w:t>
      </w:r>
      <w:r>
        <w:rPr>
          <w:rFonts w:ascii="Times New Roman;Times;serif" w:hAnsi="Times New Roman;Times;serif"/>
          <w:color w:val="000000"/>
          <w:sz w:val="20"/>
        </w:rPr>
        <w:t>”), then the Company shall immediately take all action necessary to increase the Company’s authorized Ordinary Shares to an amount sufficient to allow the Company to reserve the Required Reserve Amount for all the Notes then outstanding.  Without limiting the generality of the foregoing sentence, as soon as practicable after the date of the occurrence of an Authorized Share Failure, but in no event later than sixty (60) days after the occurrence of such Authorized Share Failure, the Company shall hold a meeting of its shareholders for the approval of an increase in the number of authorized Ordinary Shares. In connection with such meeting, the Company shall provide each shareholder with a proxy statement and shall use its best efforts to solicit its shareholders’ approval of such increase in authorized Ordinary Shares and to cause its board of directors to recommend to the shareholders that they approve such proposal. Notwithstanding the foregoing, if any such time of an Authorized Share Failure, the Company is able to obtain the written consent of a majority of the shares of its issued and outstanding Ordinary Shares to approve the increase in the number of authorized Ordinary Shares, the Company may satisfy this obligation by obtaining such consent and submitting for filing with the SEC an Information Statement on Schedule 14C.</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1440" w:right="0" w:firstLine="720"/>
        <w:jc w:val="both"/>
        <w:rPr>
          <w:rFonts w:ascii="Times New Roman;Times;serif" w:hAnsi="Times New Roman;Times;serif"/>
          <w:color w:val="000000"/>
          <w:sz w:val="20"/>
        </w:rPr>
      </w:pPr>
      <w:r>
        <w:rPr>
          <w:rFonts w:ascii="Times New Roman;Times;serif" w:hAnsi="Times New Roman;Times;serif"/>
          <w:color w:val="000000"/>
          <w:sz w:val="20"/>
        </w:rPr>
        <w:t>(vii)          </w:t>
      </w:r>
      <w:r>
        <w:rPr>
          <w:rFonts w:ascii="Times New Roman;Times;serif" w:hAnsi="Times New Roman;Times;serif"/>
          <w:color w:val="000000"/>
          <w:sz w:val="20"/>
          <w:u w:val="single"/>
        </w:rPr>
        <w:t>Fractional Shares</w:t>
      </w:r>
      <w:r>
        <w:rPr>
          <w:rFonts w:ascii="Times New Roman;Times;serif" w:hAnsi="Times New Roman;Times;serif"/>
          <w:color w:val="000000"/>
          <w:sz w:val="20"/>
        </w:rPr>
        <w:t>. No fractional shares or scrip representing fractional shares shall be issued upon the conversion of this Note.  As to any fraction of a share which the Holder would otherwise be entitled to purchase upon such conversion, the Company shall at its election, either pay a cash adjustment in respect of such final fraction in an amount equal to such fraction multiplied by the Conversion Price or round down to the next whole share.</w:t>
      </w:r>
    </w:p>
    <w:p>
      <w:pPr>
        <w:pStyle w:val="TextBody"/>
        <w:bidi w:val="0"/>
        <w:spacing w:lineRule="auto" w:line="300"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A - 9</w:t>
      </w:r>
    </w:p>
    <w:p>
      <w:pPr>
        <w:pStyle w:val="HorizontalLine"/>
        <w:pBdr>
          <w:bottom w:val="single" w:sz="12" w:space="0" w:color="808080"/>
        </w:pBdr>
        <w:bidi w:val="0"/>
        <w:spacing w:lineRule="auto" w:line="300" w:before="200" w:after="200"/>
        <w:jc w:val="left"/>
        <w:rPr/>
      </w:pPr>
      <w:r>
        <w:rPr/>
      </w:r>
    </w:p>
    <w:p>
      <w:pPr>
        <w:pStyle w:val="TextBody"/>
        <w:bidi w:val="0"/>
        <w:spacing w:lineRule="auto" w:line="300" w:before="0" w:after="0"/>
        <w:ind w:left="1440" w:right="0" w:firstLine="720"/>
        <w:jc w:val="both"/>
        <w:rPr>
          <w:rFonts w:ascii="Times New Roman;Times;serif" w:hAnsi="Times New Roman;Times;serif"/>
          <w:color w:val="000000"/>
          <w:sz w:val="20"/>
        </w:rPr>
      </w:pPr>
      <w:r>
        <w:rPr>
          <w:rFonts w:ascii="Times New Roman;Times;serif" w:hAnsi="Times New Roman;Times;serif"/>
          <w:color w:val="000000"/>
          <w:sz w:val="20"/>
        </w:rPr>
        <w:t>(viii)          </w:t>
      </w:r>
      <w:r>
        <w:rPr>
          <w:rFonts w:ascii="Times New Roman;Times;serif" w:hAnsi="Times New Roman;Times;serif"/>
          <w:color w:val="000000"/>
          <w:sz w:val="20"/>
          <w:u w:val="single"/>
        </w:rPr>
        <w:t>Transfer Taxes and Expenses</w:t>
      </w:r>
      <w:r>
        <w:rPr>
          <w:rFonts w:ascii="Times New Roman;Times;serif" w:hAnsi="Times New Roman;Times;serif"/>
          <w:color w:val="000000"/>
          <w:sz w:val="20"/>
        </w:rPr>
        <w:t>.  The issuance of Conversion Shares on conversion of this Note shall be made without charge to the Holder hereof for any documentary stamp or similar taxes that may be payable in respect of the issue or delivery of such Conversion Shares, provided that the Company shall not be required to pay any tax that may be payable in respect of any transfer involved in the issuance and delivery of any such Conversion Shares upon conversion in a name other than that of the Holder of this Note so converted and the Company shall not be required to issue or deliver such Conversion Shares unless or until the Person or Persons requesting the issuance thereof shall have paid to the Company the amount of such tax or shall have established to the satisfaction of the Company that such tax has been paid.  The Company shall pay all Transfer Agent fees required for same-day processing of any Notice of Conversion and all fees to the Depository Trust Company (or another established clearing corporation performing similar functions) required for same-day electronic delivery of the Conversion Shares.</w:t>
      </w:r>
    </w:p>
    <w:p>
      <w:pPr>
        <w:pStyle w:val="TextBody"/>
        <w:bidi w:val="0"/>
        <w:spacing w:lineRule="auto" w:line="300" w:before="0" w:after="0"/>
        <w:jc w:val="left"/>
        <w:rPr>
          <w:color w:val="000000"/>
        </w:rPr>
      </w:pPr>
      <w:r>
        <w:rPr>
          <w:color w:val="000000"/>
        </w:rPr>
        <w:t> </w:t>
      </w:r>
    </w:p>
    <w:p>
      <w:pPr>
        <w:pStyle w:val="TextBody"/>
        <w:bidi w:val="0"/>
        <w:spacing w:lineRule="auto" w:line="240"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(d)          </w:t>
      </w:r>
      <w:r>
        <w:rPr>
          <w:rFonts w:ascii="Times New Roman;Times;serif" w:hAnsi="Times New Roman;Times;serif"/>
          <w:color w:val="000000"/>
          <w:sz w:val="20"/>
          <w:u w:val="single"/>
        </w:rPr>
        <w:t>Holder’s Conversion Limitations</w:t>
      </w:r>
      <w:r>
        <w:rPr>
          <w:rFonts w:ascii="Times New Roman;Times;serif" w:hAnsi="Times New Roman;Times;serif"/>
          <w:color w:val="000000"/>
          <w:sz w:val="20"/>
        </w:rPr>
        <w:t>.  The Company shall not effect any conversion of this Note, and a Holder shall not have the right to convert any portion of this Note, to the extent that after giving effect to the conversion set forth on the applicable Notice of Conversion, the Holder (together with the Holder’s Affiliates, and any other Persons acting as a group together with the Holder or any of the Holder’s Affiliates (such Persons, “</w:t>
      </w:r>
      <w:r>
        <w:rPr>
          <w:rFonts w:ascii="Times New Roman;Times;serif" w:hAnsi="Times New Roman;Times;serif"/>
          <w:color w:val="000000"/>
          <w:sz w:val="20"/>
          <w:u w:val="single"/>
        </w:rPr>
        <w:t>Attribution Parties</w:t>
      </w:r>
      <w:r>
        <w:rPr>
          <w:rFonts w:ascii="Times New Roman;Times;serif" w:hAnsi="Times New Roman;Times;serif"/>
          <w:color w:val="000000"/>
          <w:sz w:val="20"/>
        </w:rPr>
        <w:t>”)) would beneficially own in excess of the Beneficial Ownership Limitation (as defined below).  For purposes of the foregoing sentence, the number of Ordinary Shares beneficially owned by the Holder and its Affiliates and Attribution Parties shall include the number of Ordinary Shares issuable upon conversion of this Note with respect to which such determination is being made, but shall exclude the number of Ordinary Shares which would be issuable upon (i) conversion of the remaining, unconverted principal amount of this Note (</w:t>
      </w:r>
      <w:r>
        <w:rPr>
          <w:rFonts w:ascii="Times New Roman;Times;serif" w:hAnsi="Times New Roman;Times;serif"/>
          <w:i/>
          <w:color w:val="000000"/>
          <w:sz w:val="20"/>
        </w:rPr>
        <w:t>plus</w:t>
      </w:r>
      <w:r>
        <w:rPr>
          <w:rFonts w:ascii="Times New Roman;Times;serif" w:hAnsi="Times New Roman;Times;serif"/>
          <w:color w:val="000000"/>
          <w:sz w:val="20"/>
        </w:rPr>
        <w:t>, if applicable, any accrued and unpaid interest thereon) beneficially owned by the Holder or any of its Affiliates or Attribution Parties and (ii) exercise or conversion of the unexercised or unconverted portion of any other securities of the Company subject to a limitation on conversion or exercise analogous to the limitation contained herein (including, without limitation, any Additional Notes, the Initial Warrants or any Additional Warrants) beneficially owned by the Holder or any of its Affiliates or Attribution Parties.  Except as set forth in the preceding sentence, for purposes of this Section 4(d), beneficial ownership shall be calculated in accordance with Section 13(d) of the Exchange Act and the rules and regulations promulgated thereunder.  To the extent that the limitation contained in this Section 4(d) applies, the determination of whether this Note is convertible (in relation to other securities owned by the Holder together with any Affiliates and Attribution Parties) and of which principal amount (</w:t>
      </w:r>
      <w:r>
        <w:rPr>
          <w:rFonts w:ascii="Times New Roman;Times;serif" w:hAnsi="Times New Roman;Times;serif"/>
          <w:i/>
          <w:color w:val="000000"/>
          <w:sz w:val="20"/>
        </w:rPr>
        <w:t>plus</w:t>
      </w:r>
      <w:r>
        <w:rPr>
          <w:rFonts w:ascii="Times New Roman;Times;serif" w:hAnsi="Times New Roman;Times;serif"/>
          <w:color w:val="000000"/>
          <w:sz w:val="20"/>
        </w:rPr>
        <w:t>, if applicable, any accrued and unpaid interest thereon) of this Note is convertible shall be in the sole discretion of the Holder, and the submission of a Notice of Conversion shall be deemed to be the Holder’s determination of whether this Note may be converted (in relation to other securities owned by the Holder together with any Affiliates or Attribution Parties) and which principal amount (</w:t>
      </w:r>
      <w:r>
        <w:rPr>
          <w:rFonts w:ascii="Times New Roman;Times;serif" w:hAnsi="Times New Roman;Times;serif"/>
          <w:i/>
          <w:color w:val="000000"/>
          <w:sz w:val="20"/>
        </w:rPr>
        <w:t>plus</w:t>
      </w:r>
      <w:r>
        <w:rPr>
          <w:rFonts w:ascii="Times New Roman;Times;serif" w:hAnsi="Times New Roman;Times;serif"/>
          <w:color w:val="000000"/>
          <w:sz w:val="20"/>
        </w:rPr>
        <w:t>, if applicable, any accrued and unpaid interest thereon) of this Note is convertible, in each case subject to the Beneficial Ownership Limitation, and the Company shall have no obligation to verify or confirm the accuracy of such determination.  In addition, a determination as to any group status as contemplated above shall be determined in accordance with Section 13(d) of the Exchange Act and the rules and regulations promulgated thereunder.   For purposes of this Section 4(d), in determining the number of outstanding Ordinary Shares, the Holder may rely on the number of Ordinary Shares as reflected in (A) the Company’s most recent periodic or annual report filed with the Commission, as the case may be, (B) a more recent public announcement by the Company, or (C) a more recent written notice by the Company or the Transfer Agent setting forth the number of Ordinary Shares outstanding.  Upon the written or oral request of a Holder, the Company shall within one Trading Day confirm orally and in writing to the Holder the number of Ordinary Shares then outstanding.  In any case, the number of outstanding Ordinary Shares shall be determined after giving effect to the conversion or exercise of securities of the Company, including this Note, any Additional Notes, and the Initial Warrants and any Additional Warrants, by the Holder or its Affiliates or Attribution Parties since the date as of which such number of outstanding Ordinary Shares was reported. The “</w:t>
      </w:r>
      <w:r>
        <w:rPr>
          <w:rFonts w:ascii="Times New Roman;Times;serif" w:hAnsi="Times New Roman;Times;serif"/>
          <w:color w:val="000000"/>
          <w:sz w:val="20"/>
          <w:u w:val="single"/>
        </w:rPr>
        <w:t>Beneficial Ownership Limitation</w:t>
      </w:r>
      <w:r>
        <w:rPr>
          <w:rFonts w:ascii="Times New Roman;Times;serif" w:hAnsi="Times New Roman;Times;serif"/>
          <w:color w:val="000000"/>
          <w:sz w:val="20"/>
        </w:rPr>
        <w:t>” shall be 4.99% of the number of Ordinary Shares outstanding immediately after giving effect to the issuance of Ordinary Shares issuable upon conversion of this Note.  The Holder, upon notice to the Company, may increase or decrease the Beneficial Ownership Limitation provisions of this Section 2(e), provided that the Beneficial Ownership Limitation in no event exceeds 4.99% of the number of Ordinary Shares outstanding immediately after giving effect to the issuance of Ordinary Shares upon conversion of this Note held by the Holder and the provisions of this Section 4(d) shall continue to apply; provided that (i) any such increase in the Beneficial Ownership Limitation will not be effective until the sixty-first (61st) day after such notice is delivered to the Company, and (ii) any such increase or decrease will apply only to the Holder and the other Attribution Parties and not to any other holder of Notes that is not an Attribution Party of the Holder. The Beneficial Ownership Limitation provisions of this paragraph shall be construed and implemented in a manner otherwise than in strict conformity with the terms of this Section 4(d) to correct this paragraph (or any portion hereof) which may be defective or inconsistent with the intended Beneficial Ownership Limitation contained herein or to make changes or supplements necessary or desirable to properly give effect to such limitation. The limitations contained in this paragraph shall apply to a successor holder of this Note.</w:t>
      </w:r>
    </w:p>
    <w:p>
      <w:pPr>
        <w:pStyle w:val="TextBody"/>
        <w:bidi w:val="0"/>
        <w:spacing w:lineRule="auto" w:line="300"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A - 10</w:t>
      </w:r>
    </w:p>
    <w:p>
      <w:pPr>
        <w:pStyle w:val="HorizontalLine"/>
        <w:pBdr>
          <w:bottom w:val="single" w:sz="12" w:space="0" w:color="808080"/>
        </w:pBdr>
        <w:bidi w:val="0"/>
        <w:spacing w:lineRule="auto" w:line="300" w:before="200" w:after="200"/>
        <w:jc w:val="left"/>
        <w:rPr/>
      </w:pPr>
      <w:r>
        <w:rPr/>
      </w:r>
    </w:p>
    <w:p>
      <w:pPr>
        <w:pStyle w:val="TextBody"/>
        <w:bidi w:val="0"/>
        <w:spacing w:lineRule="auto" w:line="300"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(e)          </w:t>
      </w:r>
      <w:r>
        <w:rPr>
          <w:rFonts w:ascii="Times New Roman;Times;serif" w:hAnsi="Times New Roman;Times;serif"/>
          <w:color w:val="000000"/>
          <w:sz w:val="20"/>
          <w:u w:val="single"/>
        </w:rPr>
        <w:t>Principal Market Regulation</w:t>
      </w:r>
      <w:r>
        <w:rPr>
          <w:rFonts w:ascii="Times New Roman;Times;serif" w:hAnsi="Times New Roman;Times;serif"/>
          <w:color w:val="000000"/>
          <w:sz w:val="20"/>
        </w:rPr>
        <w:t>. The Company shall not issue any Ordinary Shares upon conversion of this Note or otherwise pursuant to the terms of this Note, or upon exercise of the Warrants held by the Holder, if the issuance of such Ordinary Shares would exceed the aggregate number of Ordinary Shares which the Company may issue upon conversion of all Notes or otherwise pursuant to the terms of all Notes (as the case may be), or upon exercise of all Warrants, in each case, issued pursuant to the Purchase Agreement, without breaching the Company’s obligations under the rules or regulations of the Nasdaq Capital Market.(the “</w:t>
      </w:r>
      <w:r>
        <w:rPr>
          <w:rFonts w:ascii="Times New Roman;Times;serif" w:hAnsi="Times New Roman;Times;serif"/>
          <w:color w:val="000000"/>
          <w:sz w:val="20"/>
          <w:u w:val="single"/>
        </w:rPr>
        <w:t>Principal Market</w:t>
      </w:r>
      <w:r>
        <w:rPr>
          <w:rFonts w:ascii="Times New Roman;Times;serif" w:hAnsi="Times New Roman;Times;serif"/>
          <w:color w:val="000000"/>
          <w:sz w:val="20"/>
        </w:rPr>
        <w:t>”) (the number of Ordinary Shares which may be issued without violating such rules and regulations, including rules related to the aggregation of offerings under NASDAQ Listing Rule 5635(d), the “</w:t>
      </w:r>
      <w:r>
        <w:rPr>
          <w:rFonts w:ascii="Times New Roman;Times;serif" w:hAnsi="Times New Roman;Times;serif"/>
          <w:color w:val="000000"/>
          <w:sz w:val="20"/>
          <w:u w:val="single"/>
        </w:rPr>
        <w:t>Exchange Cap</w:t>
      </w:r>
      <w:r>
        <w:rPr>
          <w:rFonts w:ascii="Times New Roman;Times;serif" w:hAnsi="Times New Roman;Times;serif"/>
          <w:color w:val="000000"/>
          <w:sz w:val="20"/>
        </w:rPr>
        <w:t>”), except that such limitation shall not apply in the event that the Company (A) obtains the Shareholder Approval or (B) obtains a written opinion from counsel to the Company that such approval is not required, which opinion shall be reasonably satisfactory to the Holder. Until such approval or such written opinion is obtained, no Purchaser shall be issued in the aggregate, upon conversion or exercise (as the case may be) of any Notes or otherwise pursuant to the terms of the Notes, or of any Warrants or otherwise pursuant to the terms of the Warrants, Ordinary Shares in an amount greater than the product of (i) the Exchange Cap as of the date of the Purchase Agreement multiplied by (ii) the quotient of (1) the original principal amount of Notes issued to such Purchaser pursuant to the Purchase Agreement on the Closing Date (as defined in the Purchase Agreement) divided by (2) the aggregate original principal amount of all Notes issued to the Purchaser pursuant to the Purchase Agreement on the Date (with respect to each Purchaser, the “</w:t>
      </w:r>
      <w:r>
        <w:rPr>
          <w:rFonts w:ascii="Times New Roman;Times;serif" w:hAnsi="Times New Roman;Times;serif"/>
          <w:color w:val="000000"/>
          <w:sz w:val="20"/>
          <w:u w:val="single"/>
        </w:rPr>
        <w:t>Exchange Cap Allocation</w:t>
      </w:r>
      <w:r>
        <w:rPr>
          <w:rFonts w:ascii="Times New Roman;Times;serif" w:hAnsi="Times New Roman;Times;serif"/>
          <w:color w:val="000000"/>
          <w:sz w:val="20"/>
        </w:rPr>
        <w:t>”). In the event that any Purchaser shall sell or otherwise transfer any of such Purchaser’s Notes, the transferee shall be allocated a pro rata portion of such Purchaser’s Exchange Cap Allocation with respect to such portion of such Notes so transferred, and the restrictions of the prior sentence shall apply to such transferee with respect to the portion of the Exchange Cap Allocation so allocated to such transferee. Upon conversion in full of a holder’s Notes, the difference (if any) between such holder’s Exchange Cap Allocation and the number of Ordinary Shares actually issued to such holder upon such holder’s conversion in full of such Notes shall be allocated, to the respective Exchange Cap Allocations of the remaining holders of Notes on a pro rata basis in proportion to the Ordinary Shares underlying the Notes then held by each such holder of Notes.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(f)          </w:t>
      </w:r>
      <w:r>
        <w:rPr>
          <w:rFonts w:ascii="Times New Roman;Times;serif" w:hAnsi="Times New Roman;Times;serif"/>
          <w:color w:val="000000"/>
          <w:sz w:val="20"/>
          <w:u w:val="single"/>
        </w:rPr>
        <w:t>Holder of Record of Conversion Shares</w:t>
      </w:r>
      <w:r>
        <w:rPr>
          <w:rFonts w:ascii="Times New Roman;Times;serif" w:hAnsi="Times New Roman;Times;serif"/>
          <w:color w:val="000000"/>
          <w:sz w:val="20"/>
        </w:rPr>
        <w:t>. The Person in whose name any Conversion Share is issuable or deliverable upon conversion of this Note will be deemed for all corporate purposes to hold such share as of the close of business on the date of receipt by such Person of the Conversion Shares for such conversion.</w:t>
      </w:r>
    </w:p>
    <w:p>
      <w:pPr>
        <w:pStyle w:val="TextBody"/>
        <w:bidi w:val="0"/>
        <w:spacing w:lineRule="auto" w:line="300" w:before="0" w:after="0"/>
        <w:jc w:val="left"/>
        <w:rPr>
          <w:color w:val="000000"/>
        </w:rPr>
      </w:pPr>
      <w:r>
        <w:rPr>
          <w:color w:val="000000"/>
        </w:rPr>
        <w:t> </w:t>
      </w:r>
    </w:p>
    <w:p>
      <w:pPr>
        <w:pStyle w:val="Normal"/>
        <w:bidi w:val="0"/>
        <w:spacing w:lineRule="auto" w:line="300" w:before="0" w:after="0"/>
        <w:jc w:val="left"/>
        <w:rPr>
          <w:sz w:val="4"/>
          <w:szCs w:val="4"/>
        </w:rPr>
      </w:pPr>
      <w:r>
        <w:rPr>
          <w:sz w:val="4"/>
          <w:szCs w:val="4"/>
        </w:rPr>
      </w:r>
      <w:bookmarkStart w:id="228" w:name="z0076cb2d72de480f8753e1ad7f1a37b4"/>
      <w:bookmarkStart w:id="229" w:name="z0076cb2d72de480f8753e1ad7f1a37b4"/>
      <w:bookmarkEnd w:id="229"/>
    </w:p>
    <w:tbl>
      <w:tblPr>
        <w:tblW w:w="2613" w:type="dxa"/>
        <w:jc w:val="left"/>
        <w:tblInd w:w="0" w:type="dxa"/>
        <w:tblLayout w:type="fixed"/>
        <w:tblCellMar>
          <w:top w:w="0" w:type="dxa"/>
          <w:left w:w="0" w:type="dxa"/>
          <w:bottom w:w="0" w:type="dxa"/>
          <w:right w:w="0" w:type="dxa"/>
        </w:tblCellMar>
      </w:tblPr>
      <w:tblGrid>
        <w:gridCol w:w="38"/>
        <w:gridCol w:w="830"/>
        <w:gridCol w:w="1745"/>
      </w:tblGrid>
      <w:tr>
        <w:trPr/>
        <w:tc>
          <w:tcPr>
            <w:tcW w:w="38" w:type="dxa"/>
            <w:tcBorders/>
            <w:vAlign w:val="center"/>
          </w:tcPr>
          <w:p>
            <w:pPr>
              <w:pStyle w:val="TableContents"/>
              <w:bidi w:val="0"/>
              <w:spacing w:before="0" w:after="283"/>
              <w:jc w:val="left"/>
              <w:rPr/>
            </w:pPr>
            <w:r>
              <w:rPr/>
            </w:r>
          </w:p>
        </w:tc>
        <w:tc>
          <w:tcPr>
            <w:tcW w:w="830" w:type="dxa"/>
            <w:tcBorders/>
            <w:vAlign w:val="center"/>
          </w:tcPr>
          <w:p>
            <w:pPr>
              <w:pStyle w:val="TableContents"/>
              <w:bidi w:val="0"/>
              <w:spacing w:before="0" w:after="283"/>
              <w:jc w:val="left"/>
              <w:rPr>
                <w:rFonts w:ascii="Times New Roman;Times;serif" w:hAnsi="Times New Roman;Times;serif"/>
                <w:sz w:val="20"/>
                <w:u w:val="single"/>
              </w:rPr>
            </w:pPr>
            <w:r>
              <w:rPr>
                <w:rFonts w:ascii="Times New Roman;Times;serif" w:hAnsi="Times New Roman;Times;serif"/>
                <w:sz w:val="20"/>
                <w:u w:val="single"/>
              </w:rPr>
              <w:t>Section 5.</w:t>
            </w:r>
          </w:p>
        </w:tc>
        <w:tc>
          <w:tcPr>
            <w:tcW w:w="1745" w:type="dxa"/>
            <w:tcBorders/>
            <w:vAlign w:val="center"/>
          </w:tcPr>
          <w:p>
            <w:pPr>
              <w:pStyle w:val="TableContents"/>
              <w:bidi w:val="0"/>
              <w:spacing w:before="0" w:after="0"/>
              <w:jc w:val="both"/>
              <w:rPr>
                <w:rFonts w:ascii="Times New Roman;Times;serif" w:hAnsi="Times New Roman;Times;serif"/>
                <w:sz w:val="20"/>
                <w:u w:val="single"/>
              </w:rPr>
            </w:pPr>
            <w:r>
              <w:rPr>
                <w:rFonts w:ascii="Times New Roman;Times;serif" w:hAnsi="Times New Roman;Times;serif"/>
                <w:sz w:val="20"/>
                <w:u w:val="single"/>
              </w:rPr>
              <w:t>Certain Adjustments.</w:t>
            </w:r>
          </w:p>
        </w:tc>
      </w:tr>
    </w:tbl>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(a)          </w:t>
      </w:r>
      <w:r>
        <w:rPr>
          <w:rFonts w:ascii="Times New Roman;Times;serif" w:hAnsi="Times New Roman;Times;serif"/>
          <w:color w:val="000000"/>
          <w:sz w:val="20"/>
          <w:u w:val="single"/>
        </w:rPr>
        <w:t>Share Dividends and Share Splits</w:t>
      </w:r>
      <w:r>
        <w:rPr>
          <w:rFonts w:ascii="Times New Roman;Times;serif" w:hAnsi="Times New Roman;Times;serif"/>
          <w:color w:val="000000"/>
          <w:sz w:val="20"/>
        </w:rPr>
        <w:t>.  If the Company, at any time while this Note is outstanding: (i) pays a share dividend or otherwise makes a distribution or distributions payable in Ordinary Shares on Ordinary Shares or any Ordinary Share Equivalents (which, for the avoidance of doubt, shall not include any Ordinary Shares issued by the Company upon conversion of the Notes), (ii) subdivides outstanding Ordinary Shares into a larger number of shares, (iii) combines (including by way of a reverse share split) outstanding Ordinary Shares into a smaller number of shares or (iv) issues, in the event of a reclassification of Ordinary Shares, any shares of the share capital of the Company, then the Conversion Price shall be multiplied by a fraction of which the numerator shall be the number of Ordinary Shares (excluding any treasury shares of the Company) outstanding immediately before such event, and of which the denominator shall be the number of Ordinary Shares outstanding immediately after such event.  Any adjustment made pursuant to this Section shall become effective immediately after the record date for the determination of shareholders entitled to receive such dividend or distribution and shall become effective immediately after the effective date in the case of a subdivision, combination or re classification.</w:t>
      </w:r>
    </w:p>
    <w:p>
      <w:pPr>
        <w:pStyle w:val="TextBody"/>
        <w:bidi w:val="0"/>
        <w:spacing w:lineRule="auto" w:line="300"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A - 11</w:t>
      </w:r>
    </w:p>
    <w:p>
      <w:pPr>
        <w:pStyle w:val="HorizontalLine"/>
        <w:pBdr>
          <w:bottom w:val="single" w:sz="12" w:space="0" w:color="808080"/>
        </w:pBdr>
        <w:bidi w:val="0"/>
        <w:spacing w:lineRule="auto" w:line="300" w:before="200" w:after="200"/>
        <w:jc w:val="left"/>
        <w:rPr/>
      </w:pPr>
      <w:r>
        <w:rPr/>
      </w:r>
    </w:p>
    <w:p>
      <w:pPr>
        <w:pStyle w:val="TextBody"/>
        <w:bidi w:val="0"/>
        <w:spacing w:lineRule="auto" w:line="300"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(b)          </w:t>
      </w:r>
      <w:r>
        <w:rPr>
          <w:rFonts w:ascii="Times New Roman;Times;serif" w:hAnsi="Times New Roman;Times;serif"/>
          <w:color w:val="000000"/>
          <w:sz w:val="20"/>
          <w:u w:val="single"/>
        </w:rPr>
        <w:t>Reserved</w:t>
      </w:r>
      <w:r>
        <w:rPr>
          <w:rFonts w:ascii="Times New Roman;Times;serif" w:hAnsi="Times New Roman;Times;serif"/>
          <w:color w:val="000000"/>
          <w:sz w:val="20"/>
        </w:rPr>
        <w:t>.</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(c)          </w:t>
      </w:r>
      <w:r>
        <w:rPr>
          <w:rFonts w:ascii="Times New Roman;Times;serif" w:hAnsi="Times New Roman;Times;serif"/>
          <w:color w:val="000000"/>
          <w:sz w:val="20"/>
          <w:u w:val="single"/>
        </w:rPr>
        <w:t>Subsequent Rights Offerings</w:t>
      </w:r>
      <w:r>
        <w:rPr>
          <w:rFonts w:ascii="Times New Roman;Times;serif" w:hAnsi="Times New Roman;Times;serif"/>
          <w:color w:val="000000"/>
          <w:sz w:val="20"/>
        </w:rPr>
        <w:t>.  In addition to any adjustments pursuant to Section 5(a) above, if at any time the Company grants, issues or sells any Ordinary Share Equivalents or rights to purchase shares, warrants, securities or other property pro rata to the record holders of any class of Ordinary Shares, as a class (the “</w:t>
      </w:r>
      <w:r>
        <w:rPr>
          <w:rFonts w:ascii="Times New Roman;Times;serif" w:hAnsi="Times New Roman;Times;serif"/>
          <w:color w:val="000000"/>
          <w:sz w:val="20"/>
          <w:u w:val="single"/>
        </w:rPr>
        <w:t>Purchase Rights</w:t>
      </w:r>
      <w:r>
        <w:rPr>
          <w:rFonts w:ascii="Times New Roman;Times;serif" w:hAnsi="Times New Roman;Times;serif"/>
          <w:color w:val="000000"/>
          <w:sz w:val="20"/>
        </w:rPr>
        <w:t>”), then the Holder will be entitled to acquire, upon the terms applicable to such Purchase Rights, the aggregate Purchase Rights which the Holder could have acquired if the Holder had held the number of Ordinary Shares acquirable upon complete conversion of this Note (without regard to any limitations on conversion hereof, including without limitation, the Beneficial Ownership Limitation and assuming for such purpose that the Note was converted at the Conversion Price as of the applicable record date) immediately before the date on which a record is taken for the grant, issuance or sale of such Purchase Rights, or, if no such record is taken, the date as of which the record holders of Ordinary Shares are to be determined for the grant, issue or sale of such Purchase Rights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however</w:t>
      </w:r>
      <w:r>
        <w:rPr>
          <w:rFonts w:ascii="Times New Roman;Times;serif" w:hAnsi="Times New Roman;Times;serif"/>
          <w:color w:val="000000"/>
          <w:sz w:val="20"/>
        </w:rPr>
        <w:t>, that, to the extent that the Holder’s right to participate in any such Purchase Right would result in the Holder exceeding the Beneficial Ownership Limitation, then the Holder shall not be entitled to participate in such Purchase Right to such extent (or beneficial ownership of such Ordinary Shares as a result of such Purchase Right to such extent) and such Purchase Right to such extent shall be held in abeyance for the Holder until such time, if ever, as its right thereto would not result in the Holder exceeding the Beneficial Ownership Limitation).</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(d)          </w:t>
      </w:r>
      <w:r>
        <w:rPr>
          <w:rFonts w:ascii="Times New Roman;Times;serif" w:hAnsi="Times New Roman;Times;serif"/>
          <w:color w:val="000000"/>
          <w:sz w:val="20"/>
          <w:u w:val="single"/>
        </w:rPr>
        <w:t>Pro Rata Distributions</w:t>
      </w:r>
      <w:r>
        <w:rPr>
          <w:rFonts w:ascii="Times New Roman;Times;serif" w:hAnsi="Times New Roman;Times;serif"/>
          <w:color w:val="000000"/>
          <w:sz w:val="20"/>
        </w:rPr>
        <w:t>. During such time as this Note is outstanding, if the Company shall declare or make any dividend or other distribution of its assets (or rights to acquire its assets) to holders of Ordinary Shares, by way of return of capital or otherwise (including, without limitation, any distribution of cash, stock or other securities, property or options by way of a dividend, spin off, reclassification, corporate rearrangement, scheme of arrangement or other similar transaction) (a “</w:t>
      </w:r>
      <w:r>
        <w:rPr>
          <w:rFonts w:ascii="Times New Roman;Times;serif" w:hAnsi="Times New Roman;Times;serif"/>
          <w:color w:val="000000"/>
          <w:sz w:val="20"/>
          <w:u w:val="single"/>
        </w:rPr>
        <w:t>Distribution</w:t>
      </w:r>
      <w:r>
        <w:rPr>
          <w:rFonts w:ascii="Times New Roman;Times;serif" w:hAnsi="Times New Roman;Times;serif"/>
          <w:color w:val="000000"/>
          <w:sz w:val="20"/>
        </w:rPr>
        <w:t>”), at any time after the issuance of this Note, then, in each such case, the Holder shall be entitled to participate in such Distribution to the same extent that the Holder would have participated therein if the Holder had held the number of Ordinary Shares acquirable upon complete conversion of this Note (without regard to any limitations on conversion hereof, including without limitation, the Beneficial Ownership Limitation) immediately before the date of which a record is taken for such Distribution, or, if no such record is taken, the date as of which the record holders of Ordinary Shares are to be determined for the participation in such Distribution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however</w:t>
      </w:r>
      <w:r>
        <w:rPr>
          <w:rFonts w:ascii="Times New Roman;Times;serif" w:hAnsi="Times New Roman;Times;serif"/>
          <w:color w:val="000000"/>
          <w:sz w:val="20"/>
        </w:rPr>
        <w:t xml:space="preserve">, </w:t>
      </w:r>
      <w:r>
        <w:rPr>
          <w:rFonts w:ascii="Times New Roman;Times;serif" w:hAnsi="Times New Roman;Times;serif"/>
          <w:color w:val="000000"/>
          <w:sz w:val="20"/>
          <w:u w:val="single"/>
        </w:rPr>
        <w:t>that</w:t>
      </w:r>
      <w:r>
        <w:rPr>
          <w:rFonts w:ascii="Times New Roman;Times;serif" w:hAnsi="Times New Roman;Times;serif"/>
          <w:color w:val="000000"/>
          <w:sz w:val="20"/>
        </w:rPr>
        <w:t>, to the extent that the Holder’s right to participate in any such Distribution would result in the Holder exceeding the Beneficial Ownership Limitation, then the Holder shall not be entitled to participate in such Distribution to such extent (or in the beneficial ownership of any Ordinary Shares as a result of such Distribution to such extent) and the portion of such Distribution shall be held in abeyance for the benefit of the Holder until such time, if ever, as its right thereto would not result in the Holder exceeding the Beneficial Ownership Limitation).</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(e)          </w:t>
      </w:r>
      <w:r>
        <w:rPr>
          <w:rFonts w:ascii="Times New Roman;Times;serif" w:hAnsi="Times New Roman;Times;serif"/>
          <w:color w:val="000000"/>
          <w:sz w:val="20"/>
          <w:u w:val="single"/>
        </w:rPr>
        <w:t>Adjustment to Conversion Price</w:t>
      </w:r>
      <w:r>
        <w:rPr>
          <w:rFonts w:ascii="Times New Roman;Times;serif" w:hAnsi="Times New Roman;Times;serif"/>
          <w:color w:val="000000"/>
          <w:sz w:val="20"/>
        </w:rPr>
        <w:t xml:space="preserve">.  Whenever the Conversion Price is adjusted pursuant to any provision of this </w:t>
      </w:r>
      <w:r>
        <w:rPr>
          <w:rFonts w:ascii="Times New Roman;Times;serif" w:hAnsi="Times New Roman;Times;serif"/>
          <w:color w:val="000000"/>
          <w:sz w:val="20"/>
          <w:u w:val="single"/>
        </w:rPr>
        <w:t>Section 5</w:t>
      </w:r>
      <w:r>
        <w:rPr>
          <w:rFonts w:ascii="Times New Roman;Times;serif" w:hAnsi="Times New Roman;Times;serif"/>
          <w:color w:val="000000"/>
          <w:sz w:val="20"/>
        </w:rPr>
        <w:t>, the Company shall promptly deliver to each Holder a notice setting forth the Conversion Price after such adjustment and setting forth a brief statement of the facts requiring such adjustment.</w:t>
      </w:r>
    </w:p>
    <w:p>
      <w:pPr>
        <w:pStyle w:val="TextBody"/>
        <w:bidi w:val="0"/>
        <w:spacing w:lineRule="auto" w:line="300"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A - 12</w:t>
      </w:r>
    </w:p>
    <w:p>
      <w:pPr>
        <w:pStyle w:val="HorizontalLine"/>
        <w:pBdr>
          <w:bottom w:val="single" w:sz="12" w:space="0" w:color="808080"/>
        </w:pBdr>
        <w:bidi w:val="0"/>
        <w:spacing w:lineRule="auto" w:line="300" w:before="200" w:after="200"/>
        <w:jc w:val="left"/>
        <w:rPr/>
      </w:pPr>
      <w:r>
        <w:rPr/>
      </w:r>
    </w:p>
    <w:p>
      <w:pPr>
        <w:pStyle w:val="TextBody"/>
        <w:bidi w:val="0"/>
        <w:spacing w:lineRule="auto" w:line="300"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(f)          </w:t>
      </w:r>
      <w:r>
        <w:rPr>
          <w:rFonts w:ascii="Times New Roman;Times;serif" w:hAnsi="Times New Roman;Times;serif"/>
          <w:color w:val="000000"/>
          <w:sz w:val="20"/>
          <w:u w:val="single"/>
        </w:rPr>
        <w:t>Notice to Allow Conversion by Holder</w:t>
      </w:r>
      <w:r>
        <w:rPr>
          <w:rFonts w:ascii="Times New Roman;Times;serif" w:hAnsi="Times New Roman;Times;serif"/>
          <w:color w:val="000000"/>
          <w:sz w:val="20"/>
        </w:rPr>
        <w:t>.  If (A) the Company shall declare a dividend (or any other distribution in whatever form) on the Ordinary Shares, (B) the Company shall declare a special nonrecurring cash dividend on or a redemption of the Ordinary Shares, (C) the Company shall authorize the granting to all holders of the Ordinary Shares of rights or warrants to subscribe for or purchase any shares of the share capital of any class or of any rights, (D) the approval of any shareholders of the Company shall be required in connection with any reclassification of the Ordinary Shares, any consolidation or merger to which the Company (and all of its Subsidiaries, taken as a whole)  is a party, any sale or transfer of all or substantially all of the assets of the Company, or any compulsory share exchange whereby the Ordinary Shares are converted into other securities, cash or property or (E) the Company shall authorize the voluntary or involuntary dissolution, liquidation or winding up of the affairs of the Company, then, in each case, the Company shall cause to be filed at each office or agency maintained for the purpose of conversion of this Note, and shall cause to be delivered to the Holder at its last address as it shall appear upon the Note Register, at least twenty (20)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Ordinary Shares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Ordinary Shares of record shall be entitled to exchange their Ordinary Shares for securities, cash or other property deliverable upon such reclassification, consolidation, merger, sale, transfer or share exchange, provided that the failure to deliver such notice or any defect therein or in the delivery thereof shall not affect the validity of the corporate action required to be specified in such notice.  To the extent that any notice provided hereunder constitutes, or contains, material, non-public information regarding the Company or any of the Subsidiaries, the Company shall simultaneously file such notice with the Commission pursuant to a Current Report on Form 8-K.  For the avoidance of doubt, the Holder shall remain entitled to convert this Note during the 20-day period commencing on the date of such notice through the effective date of the event triggering such notice except as may otherwise be expressly set forth herein.</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(g)          </w:t>
      </w:r>
      <w:r>
        <w:rPr>
          <w:rFonts w:ascii="Times New Roman;Times;serif" w:hAnsi="Times New Roman;Times;serif"/>
          <w:color w:val="000000"/>
          <w:sz w:val="20"/>
          <w:u w:val="single"/>
        </w:rPr>
        <w:t>Fundamental Transaction</w:t>
      </w:r>
      <w:r>
        <w:rPr>
          <w:rFonts w:ascii="Times New Roman;Times;serif" w:hAnsi="Times New Roman;Times;serif"/>
          <w:color w:val="000000"/>
          <w:sz w:val="20"/>
        </w:rPr>
        <w:t>. If, at any time while this Note is outstanding, (i) the Company, directly or indirectly, in one or more related transactions effects any merger or consolidation of the Company with or into another Person, (ii) the Company (or any subsidiary), directly or indirectly effects any sale, lease, license, assignment, transfer, conveyance or other disposition of all or substantially all of its assets in one or a series of related transactions, except to the extent subject to an adjustment pursuant to Section 5, (iii) any, direct or indirect, purchase offer, tender offer or exchange offer (whether by the Company or another Person) is completed pursuant to which holders of Ordinary Shares are permitted to sell, tender or exchange their shares for other securities, cash or property and has been accepted by the holders of more than 50% of the outstanding Ordinary Shares or more than 50% of the voting power of the common equity of the Company, (iv) the Company, directly or indirectly, in one or more related transactions effects any reclassification, reorganization or recapitalization of the Ordinary Shares or any compulsory share exchange pursuant to which the Ordinary Shares are effectively converted into or exchanged for other securities, cash or property, or (v) the Company, directly or indirectly, in one or more related transactions consummates a share purchase agreement or other business combination (including, without limitation, a reorganization, recapitalization, spin-off, merger or scheme of arrangement) with another Person or group of Persons whereby such other Person or group acquires more than 50% of the outstanding Ordinary Shares or more than 50% of the voting power of the Ordinary Shares of the Company (each a “</w:t>
      </w:r>
      <w:r>
        <w:rPr>
          <w:rFonts w:ascii="Times New Roman;Times;serif" w:hAnsi="Times New Roman;Times;serif"/>
          <w:color w:val="000000"/>
          <w:sz w:val="20"/>
          <w:u w:val="single"/>
        </w:rPr>
        <w:t>Fundamental Transaction</w:t>
      </w:r>
      <w:r>
        <w:rPr>
          <w:rFonts w:ascii="Times New Roman;Times;serif" w:hAnsi="Times New Roman;Times;serif"/>
          <w:color w:val="000000"/>
          <w:sz w:val="20"/>
        </w:rPr>
        <w:t>”), then, upon any subsequent conversion of this Note, the Holder shall have the right to receive, for each Conversion Share that would have been issuable upon such conversion immediately prior to the occurrence of such Fundamental Transaction, at the option of the Holder (without regard to any limitation in Section 4(d) on the conversion of this Note), the number of Ordinary Shares of the successor or acquiring corporation or of the Company, if it is the surviving corporation, and any additional consideration (the “</w:t>
      </w:r>
      <w:r>
        <w:rPr>
          <w:rFonts w:ascii="Times New Roman;Times;serif" w:hAnsi="Times New Roman;Times;serif"/>
          <w:color w:val="000000"/>
          <w:sz w:val="20"/>
          <w:u w:val="single"/>
        </w:rPr>
        <w:t>Alternate Consideration</w:t>
      </w:r>
      <w:r>
        <w:rPr>
          <w:rFonts w:ascii="Times New Roman;Times;serif" w:hAnsi="Times New Roman;Times;serif"/>
          <w:color w:val="000000"/>
          <w:sz w:val="20"/>
        </w:rPr>
        <w:t>”) receivable as a result of such Fundamental Transaction by a holder of the number of Ordinary Shares for which this Note is convertible immediately prior to such Fundamental Transaction (without regard to any limitation in Section 4(d) on the conversion of this Note). For purposes of any such conversion, the determination of the Conversion Price shall be appropriately adjusted to apply to such Alternate Consideration based on the amount of Alternate Consideration issuable in respect of one Ordinary Share in such Fundamental Transaction, and the Company shall apportion the Conversion Price among the Alternate Consideration in a reasonable manner reflecting the relative value of any different components of the Alternate Consideration. If holders of Ordinary Shares are given any choice as to the securities, cash or property to be received in a Fundamental Transaction, then the Holder shall be given the same choice as to the Alternate Consideration it receives upon any conversion of this Note following such Fundamental Transaction. The Company shall cause any successor entity in a Fundamental Transaction in which the Company is not the survivor (the “</w:t>
      </w:r>
      <w:r>
        <w:rPr>
          <w:rFonts w:ascii="Times New Roman;Times;serif" w:hAnsi="Times New Roman;Times;serif"/>
          <w:color w:val="000000"/>
          <w:sz w:val="20"/>
          <w:u w:val="single"/>
        </w:rPr>
        <w:t>Successor Entity</w:t>
      </w:r>
      <w:r>
        <w:rPr>
          <w:rFonts w:ascii="Times New Roman;Times;serif" w:hAnsi="Times New Roman;Times;serif"/>
          <w:color w:val="000000"/>
          <w:sz w:val="20"/>
        </w:rPr>
        <w:t>”) to assume in writing all of the obligations of the Company under this Note in accordance with the provisions of this Section 5(h) pursuant to written agreements in form and substance reasonably satisfactory to the Holder and approved by the Holder (without unreasonable delay) prior to such Fundamental Transaction and shall, at the option of the Holder, deliver to the Holder in exchange for this Note a security of the Successor Entity evidenced by a written instrument substantially similar in form and substance to this Note which is convertible for a corresponding number of shares of capital stock of such Successor Entity (or its parent entity) equivalent to the Ordinary Shares acquirable and receivable upon conversion of this Note (without regard to any limitations on the conversion of this Note) prior to such Fundamental Transaction, and with an conversion price which applies the conversion price hereunder to such shares of capital stock (but taking into account the relative value of the Ordinary Shares pursuant to such Fundamental Transaction and the value of such shares of capital stock, such number of shares of capital stock and such conversion price being for the purpose of protecting the economic value of this Note immediately prior to the consummation of such Fundamental Transaction), and which is reasonably satisfactory in form and substance to the Holder. Upon the occurrence of any such Fundamental Transaction, the Successor Entity shall be added to the term “Company” under this Note (so that from and after the occurrence or consummation of such Fundamental Transaction, each and every provision of this Note and the other Transaction Documents referring to the “Company” shall refer instead to each of the Company and the Successor Entity or Successor Entities, jointly and severally), and the Successor Entity or Successor Entities, jointly and severally with the Company, may exercise every right and power of the Company prior thereto and the Successor Entity or Successor Entities shall assume all of the obligations of the Company prior thereto under this Note with the same effect as if the Company and such Successor Entity or Successor Entities, jointly and severally, had been named as the Company herein. Notwithstanding anything to the contrary herein, the Company and Holder acknowledge and agree that the transactions contemplated by that certain Purchase Agreement (the “Oratech Purchase Agreement”), dated as of January 12, 2026, by and among the Company, Oratech Pharma, Inc. and Oramed Pharmaceuticals, Inc. (the “Current Transaction”) and related transaction documentation, including the execution of the Oratech Purchase Agreement and documentation related thereto, shall not constitute, and shall not be deemed to constitute, a Fundamental Transaction for any purpose under this Note, and no rights, remedies, or obligations that would otherwise arise upon the occurrence of a Fundamental Transaction shall be triggered by or in connection with the consummation of the Current Transaction.  Additionally, notwithstanding anything to the contrary herein, no transaction, action, election, or arrangement initiated, proposed, directed, or otherwise caused by, or at the direction of, the Majority Holders shall constitute, or be deemed to constitute, a Fundamental Transaction, and no Fundamental Transaction shall be deemed to have occurred solely as a result of any voluntary act or omission of the Majority Holders. For the avoidance of doubt, a Fundamental Transaction shall only be deemed to occur upon the consummation of a transaction undertaken by the Company or a third party independent of the Majority Holders, and not as a result of any designation, characterization, or contractual right exercised by the Majority Holders.</w:t>
      </w:r>
    </w:p>
    <w:p>
      <w:pPr>
        <w:pStyle w:val="TextBody"/>
        <w:bidi w:val="0"/>
        <w:spacing w:lineRule="auto" w:line="300"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A - 13</w:t>
      </w:r>
    </w:p>
    <w:p>
      <w:pPr>
        <w:pStyle w:val="HorizontalLine"/>
        <w:pBdr>
          <w:bottom w:val="single" w:sz="12" w:space="0" w:color="808080"/>
        </w:pBdr>
        <w:bidi w:val="0"/>
        <w:spacing w:lineRule="auto" w:line="300" w:before="200" w:after="200"/>
        <w:jc w:val="left"/>
        <w:rPr/>
      </w:pPr>
      <w:r>
        <w:rPr/>
      </w:r>
    </w:p>
    <w:p>
      <w:pPr>
        <w:pStyle w:val="TextBody"/>
        <w:bidi w:val="0"/>
        <w:spacing w:lineRule="auto" w:line="300"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(h)          </w:t>
      </w:r>
      <w:r>
        <w:rPr>
          <w:rFonts w:ascii="Times New Roman;Times;serif" w:hAnsi="Times New Roman;Times;serif"/>
          <w:color w:val="000000"/>
          <w:sz w:val="20"/>
          <w:u w:val="single"/>
        </w:rPr>
        <w:t>Calculations</w:t>
      </w:r>
      <w:r>
        <w:rPr>
          <w:rFonts w:ascii="Times New Roman;Times;serif" w:hAnsi="Times New Roman;Times;serif"/>
          <w:color w:val="000000"/>
          <w:sz w:val="20"/>
        </w:rPr>
        <w:t>.  All calculations under this Section 5 shall be made to the nearest cent or the nearest 1/100th of a share, as the case may be.  For purposes of this Section 5, the number of Ordinary Shares deemed to be issued and outstanding as of a given date shall be the sum of the number of Ordinary Shares (excluding any treasury shares of the Company) issued and outstanding.</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hanging="0"/>
        <w:jc w:val="both"/>
        <w:rPr>
          <w:rFonts w:ascii="Times New Roman;Times;serif" w:hAnsi="Times New Roman;Times;serif"/>
          <w:color w:val="000000"/>
          <w:sz w:val="20"/>
        </w:rPr>
      </w:pPr>
      <w:r>
        <w:rPr>
          <w:rFonts w:ascii="Times New Roman;Times;serif" w:hAnsi="Times New Roman;Times;serif"/>
          <w:color w:val="000000"/>
          <w:sz w:val="20"/>
          <w:u w:val="single"/>
        </w:rPr>
        <w:t>Section 6.</w:t>
      </w:r>
      <w:r>
        <w:rPr>
          <w:rFonts w:ascii="Times New Roman;Times;serif" w:hAnsi="Times New Roman;Times;serif"/>
          <w:color w:val="000000"/>
          <w:sz w:val="20"/>
        </w:rPr>
        <w:t>          </w:t>
      </w:r>
      <w:r>
        <w:rPr>
          <w:rFonts w:ascii="Times New Roman;Times;serif" w:hAnsi="Times New Roman;Times;serif"/>
          <w:color w:val="000000"/>
          <w:sz w:val="20"/>
          <w:u w:val="single"/>
        </w:rPr>
        <w:t>Reserved</w:t>
      </w:r>
      <w:r>
        <w:rPr>
          <w:rFonts w:ascii="Times New Roman;Times;serif" w:hAnsi="Times New Roman;Times;serif"/>
          <w:color w:val="000000"/>
          <w:sz w:val="20"/>
        </w:rPr>
        <w:t>.</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hanging="0"/>
        <w:jc w:val="both"/>
        <w:rPr>
          <w:rFonts w:ascii="Times New Roman;Times;serif" w:hAnsi="Times New Roman;Times;serif"/>
          <w:color w:val="000000"/>
          <w:sz w:val="20"/>
        </w:rPr>
      </w:pPr>
      <w:r>
        <w:rPr>
          <w:rFonts w:ascii="Times New Roman;Times;serif" w:hAnsi="Times New Roman;Times;serif"/>
          <w:color w:val="000000"/>
          <w:sz w:val="20"/>
          <w:u w:val="single"/>
        </w:rPr>
        <w:t>Section 7.</w:t>
      </w:r>
      <w:r>
        <w:rPr>
          <w:rFonts w:ascii="Times New Roman;Times;serif" w:hAnsi="Times New Roman;Times;serif"/>
          <w:color w:val="000000"/>
          <w:sz w:val="20"/>
        </w:rPr>
        <w:t>          </w:t>
      </w:r>
      <w:r>
        <w:rPr>
          <w:rFonts w:ascii="Times New Roman;Times;serif" w:hAnsi="Times New Roman;Times;serif"/>
          <w:color w:val="000000"/>
          <w:sz w:val="20"/>
          <w:u w:val="single"/>
        </w:rPr>
        <w:t>Covenants</w:t>
      </w:r>
      <w:r>
        <w:rPr>
          <w:rFonts w:ascii="Times New Roman;Times;serif" w:hAnsi="Times New Roman;Times;serif"/>
          <w:color w:val="000000"/>
          <w:sz w:val="20"/>
        </w:rPr>
        <w:t>.</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630" w:right="0" w:firstLine="810"/>
        <w:jc w:val="both"/>
        <w:rPr>
          <w:rFonts w:ascii="Times New Roman;Times;serif" w:hAnsi="Times New Roman;Times;serif"/>
          <w:color w:val="000000"/>
          <w:sz w:val="20"/>
        </w:rPr>
      </w:pPr>
      <w:r>
        <w:rPr>
          <w:rFonts w:ascii="Times New Roman;Times;serif" w:hAnsi="Times New Roman;Times;serif"/>
          <w:color w:val="000000"/>
          <w:sz w:val="20"/>
        </w:rPr>
        <w:t>(a)          </w:t>
      </w:r>
      <w:r>
        <w:rPr>
          <w:rFonts w:ascii="Times New Roman;Times;serif" w:hAnsi="Times New Roman;Times;serif"/>
          <w:color w:val="000000"/>
          <w:sz w:val="20"/>
          <w:u w:val="single"/>
        </w:rPr>
        <w:t>Negative Covenants</w:t>
      </w:r>
      <w:r>
        <w:rPr>
          <w:rFonts w:ascii="Times New Roman;Times;serif" w:hAnsi="Times New Roman;Times;serif"/>
          <w:color w:val="000000"/>
          <w:sz w:val="20"/>
        </w:rPr>
        <w:t>. As long as any portion of this Note remains outstanding, except with the consent of the Majority Holders, the Company shall not, and shall not permit any of the Subsidiaries to, directly or indirectly:</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1440" w:right="0" w:firstLine="720"/>
        <w:jc w:val="both"/>
        <w:rPr>
          <w:rFonts w:ascii="Times New Roman;Times;serif" w:hAnsi="Times New Roman;Times;serif"/>
          <w:color w:val="000000"/>
          <w:sz w:val="20"/>
        </w:rPr>
      </w:pPr>
      <w:r>
        <w:rPr>
          <w:rFonts w:ascii="Times New Roman;Times;serif" w:hAnsi="Times New Roman;Times;serif"/>
          <w:color w:val="000000"/>
          <w:sz w:val="20"/>
        </w:rPr>
        <w:t>(i)          other than Permitted Indebtedness, enter into, create, incur, assume, guarantee or suffer to exist any Indebtedness of any kind, including, but not limited to, a guarantee, on or with respect to any of its property or assets now owned or hereafter acquired or any interest therein or any income or profits therefrom;</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1440" w:right="0" w:firstLine="720"/>
        <w:jc w:val="both"/>
        <w:rPr>
          <w:rFonts w:ascii="Times New Roman;Times;serif" w:hAnsi="Times New Roman;Times;serif"/>
          <w:color w:val="000000"/>
          <w:sz w:val="20"/>
        </w:rPr>
      </w:pPr>
      <w:r>
        <w:rPr>
          <w:rFonts w:ascii="Times New Roman;Times;serif" w:hAnsi="Times New Roman;Times;serif"/>
          <w:color w:val="000000"/>
          <w:sz w:val="20"/>
        </w:rPr>
        <w:t>(ii)          other than Permitted Liens, enter into, create, incur, assume or suffer to exist any Liens of any kind, on or with respect to any of its property or assets now owned or hereafter acquired or any interest therein or any income or profits therefrom;</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1440" w:right="0" w:firstLine="720"/>
        <w:jc w:val="both"/>
        <w:rPr>
          <w:rFonts w:ascii="Times New Roman;Times;serif" w:hAnsi="Times New Roman;Times;serif"/>
          <w:color w:val="000000"/>
          <w:sz w:val="20"/>
        </w:rPr>
      </w:pPr>
      <w:r>
        <w:rPr>
          <w:rFonts w:ascii="Times New Roman;Times;serif" w:hAnsi="Times New Roman;Times;serif"/>
          <w:color w:val="000000"/>
          <w:sz w:val="20"/>
        </w:rPr>
        <w:t>(iii)          amend its governing documents, including, without limitation, its memorandum and articles of association, in any manner that materially and adversely affects any rights of the Holder;</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1440" w:right="0" w:firstLine="720"/>
        <w:jc w:val="both"/>
        <w:rPr>
          <w:rFonts w:ascii="Times New Roman;Times;serif" w:hAnsi="Times New Roman;Times;serif"/>
          <w:color w:val="000000"/>
          <w:sz w:val="20"/>
        </w:rPr>
      </w:pPr>
      <w:r>
        <w:rPr>
          <w:rFonts w:ascii="Times New Roman;Times;serif" w:hAnsi="Times New Roman;Times;serif"/>
          <w:color w:val="000000"/>
          <w:sz w:val="20"/>
        </w:rPr>
        <w:t xml:space="preserve">(iv)          repay, repurchase or offer to repay, repurchase or otherwise acquire more than a </w:t>
      </w:r>
      <w:r>
        <w:rPr>
          <w:rFonts w:ascii="Times New Roman;Times;serif" w:hAnsi="Times New Roman;Times;serif"/>
          <w:color w:val="000000"/>
          <w:sz w:val="20"/>
          <w:u w:val="single"/>
        </w:rPr>
        <w:t>de</w:t>
      </w:r>
      <w:r>
        <w:rPr>
          <w:rFonts w:ascii="Times New Roman;Times;serif" w:hAnsi="Times New Roman;Times;serif"/>
          <w:color w:val="000000"/>
          <w:sz w:val="20"/>
        </w:rPr>
        <w:t> </w:t>
      </w:r>
      <w:r>
        <w:rPr>
          <w:rFonts w:ascii="Times New Roman;Times;serif" w:hAnsi="Times New Roman;Times;serif"/>
          <w:color w:val="000000"/>
          <w:sz w:val="20"/>
          <w:u w:val="single"/>
        </w:rPr>
        <w:t>minimis</w:t>
      </w:r>
      <w:r>
        <w:rPr>
          <w:rFonts w:ascii="Times New Roman;Times;serif" w:hAnsi="Times New Roman;Times;serif"/>
          <w:color w:val="000000"/>
          <w:sz w:val="20"/>
        </w:rPr>
        <w:t xml:space="preserve"> number of Ordinary Shares or Ordinary Share Equivalents other than as to the Conversion Shares or the Warrant Shares as permitted or required under the Transaction Documents;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1440" w:right="0" w:firstLine="720"/>
        <w:jc w:val="both"/>
        <w:rPr>
          <w:rFonts w:ascii="Times New Roman;Times;serif" w:hAnsi="Times New Roman;Times;serif"/>
          <w:color w:val="000000"/>
          <w:sz w:val="20"/>
        </w:rPr>
      </w:pPr>
      <w:r>
        <w:rPr>
          <w:rFonts w:ascii="Times New Roman;Times;serif" w:hAnsi="Times New Roman;Times;serif"/>
          <w:color w:val="000000"/>
          <w:sz w:val="20"/>
        </w:rPr>
        <w:t xml:space="preserve">(v)          repay, repurchase or offer to repay, repurchase or otherwise acquire any Indebtedness, other than (i) the Notes, (ii) any Additional Notes, (iii) the Existing Notes, and (iv) regularly scheduled principal and interest payments with respect to other Indebtedness outstanding on the Original Issue Date, as such terms are in effect as of the Original Issue Date, in each case of </w:t>
      </w:r>
      <w:r>
        <w:rPr>
          <w:rFonts w:ascii="Times New Roman;Times;serif" w:hAnsi="Times New Roman;Times;serif"/>
          <w:color w:val="000000"/>
          <w:sz w:val="20"/>
          <w:u w:val="single"/>
        </w:rPr>
        <w:t>clauses (i</w:t>
      </w:r>
      <w:r>
        <w:rPr>
          <w:rFonts w:ascii="Times New Roman;Times;serif" w:hAnsi="Times New Roman;Times;serif"/>
          <w:color w:val="000000"/>
          <w:sz w:val="20"/>
        </w:rPr>
        <w:t>) through (</w:t>
      </w:r>
      <w:r>
        <w:rPr>
          <w:rFonts w:ascii="Times New Roman;Times;serif" w:hAnsi="Times New Roman;Times;serif"/>
          <w:color w:val="000000"/>
          <w:sz w:val="20"/>
          <w:u w:val="single"/>
        </w:rPr>
        <w:t>iv</w:t>
      </w:r>
      <w:r>
        <w:rPr>
          <w:rFonts w:ascii="Times New Roman;Times;serif" w:hAnsi="Times New Roman;Times;serif"/>
          <w:color w:val="000000"/>
          <w:sz w:val="20"/>
        </w:rPr>
        <w:t xml:space="preserve">), </w:t>
      </w:r>
      <w:r>
        <w:rPr>
          <w:rFonts w:ascii="Times New Roman;Times;serif" w:hAnsi="Times New Roman;Times;serif"/>
          <w:color w:val="000000"/>
          <w:sz w:val="20"/>
          <w:u w:val="single"/>
        </w:rPr>
        <w:t>provided</w:t>
      </w:r>
      <w:r>
        <w:rPr>
          <w:rFonts w:ascii="Times New Roman;Times;serif" w:hAnsi="Times New Roman;Times;serif"/>
          <w:color w:val="000000"/>
          <w:sz w:val="20"/>
        </w:rPr>
        <w:t> </w:t>
      </w:r>
      <w:r>
        <w:rPr>
          <w:rFonts w:ascii="Times New Roman;Times;serif" w:hAnsi="Times New Roman;Times;serif"/>
          <w:color w:val="000000"/>
          <w:sz w:val="20"/>
          <w:u w:val="single"/>
        </w:rPr>
        <w:t>that</w:t>
      </w:r>
      <w:r>
        <w:rPr>
          <w:rFonts w:ascii="Times New Roman;Times;serif" w:hAnsi="Times New Roman;Times;serif"/>
          <w:color w:val="000000"/>
          <w:sz w:val="20"/>
        </w:rPr>
        <w:t xml:space="preserve"> such payments shall not be permitted if, at such time, or after giving effect to such payment, any Event of Default exist or occur;</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1440" w:right="0" w:firstLine="720"/>
        <w:jc w:val="both"/>
        <w:rPr>
          <w:rFonts w:ascii="Times New Roman;Times;serif" w:hAnsi="Times New Roman;Times;serif"/>
          <w:color w:val="000000"/>
          <w:sz w:val="20"/>
        </w:rPr>
      </w:pPr>
      <w:r>
        <w:rPr>
          <w:rFonts w:ascii="Times New Roman;Times;serif" w:hAnsi="Times New Roman;Times;serif"/>
          <w:color w:val="000000"/>
          <w:sz w:val="20"/>
        </w:rPr>
        <w:t>(vi)          pay cash dividends or distributions on any equity securities of the Company;</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1440" w:right="0" w:firstLine="720"/>
        <w:jc w:val="both"/>
        <w:rPr>
          <w:rFonts w:ascii="Times New Roman;Times;serif" w:hAnsi="Times New Roman;Times;serif"/>
          <w:color w:val="000000"/>
          <w:sz w:val="20"/>
        </w:rPr>
      </w:pPr>
      <w:r>
        <w:rPr>
          <w:rFonts w:ascii="Times New Roman;Times;serif" w:hAnsi="Times New Roman;Times;serif"/>
          <w:color w:val="000000"/>
          <w:sz w:val="20"/>
        </w:rPr>
        <w:t>(vii)          enter into any transaction with any Affiliate of the Company which would be required to be disclosed in any public filing with the Commission, unless such transaction is made on an arm’s-length basis and expressly approved by a majority of the disinterested directors of the Company (even if less than a quorum otherwise required for board approval); or</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1440" w:right="0" w:firstLine="720"/>
        <w:jc w:val="both"/>
        <w:rPr>
          <w:rFonts w:ascii="Times New Roman;Times;serif" w:hAnsi="Times New Roman;Times;serif"/>
          <w:color w:val="000000"/>
          <w:sz w:val="20"/>
        </w:rPr>
      </w:pPr>
      <w:r>
        <w:rPr>
          <w:rFonts w:ascii="Times New Roman;Times;serif" w:hAnsi="Times New Roman;Times;serif"/>
          <w:color w:val="000000"/>
          <w:sz w:val="20"/>
        </w:rPr>
        <w:t>(viii)          enter into any agreement with respect to any of the foregoing.</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(b)          </w:t>
      </w:r>
      <w:r>
        <w:rPr>
          <w:rFonts w:ascii="Times New Roman;Times;serif" w:hAnsi="Times New Roman;Times;serif"/>
          <w:color w:val="000000"/>
          <w:sz w:val="20"/>
          <w:u w:val="single"/>
        </w:rPr>
        <w:t>Affirmative Covenants</w:t>
      </w:r>
      <w:r>
        <w:rPr>
          <w:rFonts w:ascii="Times New Roman;Times;serif" w:hAnsi="Times New Roman;Times;serif"/>
          <w:color w:val="000000"/>
          <w:sz w:val="20"/>
        </w:rPr>
        <w:t>. As long as any portion of this Note remains outstanding, except with the consent of the Majority Holders, the Company shall, and shall cause each of its Subsidiaries to:</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1440" w:right="0" w:firstLine="720"/>
        <w:jc w:val="both"/>
        <w:rPr>
          <w:rFonts w:ascii="Times New Roman;Times;serif" w:hAnsi="Times New Roman;Times;serif"/>
          <w:color w:val="000000"/>
          <w:sz w:val="20"/>
        </w:rPr>
      </w:pPr>
      <w:r>
        <w:rPr>
          <w:rFonts w:ascii="Times New Roman;Times;serif" w:hAnsi="Times New Roman;Times;serif"/>
          <w:color w:val="000000"/>
          <w:sz w:val="20"/>
        </w:rPr>
        <w:t>(i)          preserve and maintain its legal existence, rights, franchises and privileges in the jurisdiction of its incorporation, and qualify and remain qualified as a foreign business entity in each jurisdiction in which qualification is necessary in view of its business and operations or the ownership of its properties and where failure maintain or qualify could reasonably be expected to have a Material Adverse Effect;</w:t>
      </w:r>
    </w:p>
    <w:p>
      <w:pPr>
        <w:pStyle w:val="TextBody"/>
        <w:bidi w:val="0"/>
        <w:spacing w:lineRule="auto" w:line="300"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A - 14</w:t>
      </w:r>
    </w:p>
    <w:p>
      <w:pPr>
        <w:pStyle w:val="HorizontalLine"/>
        <w:pBdr>
          <w:bottom w:val="single" w:sz="12" w:space="0" w:color="808080"/>
        </w:pBdr>
        <w:bidi w:val="0"/>
        <w:spacing w:lineRule="auto" w:line="300" w:before="200" w:after="200"/>
        <w:jc w:val="left"/>
        <w:rPr/>
      </w:pPr>
      <w:r>
        <w:rPr/>
      </w:r>
    </w:p>
    <w:p>
      <w:pPr>
        <w:pStyle w:val="TextBody"/>
        <w:bidi w:val="0"/>
        <w:spacing w:lineRule="auto" w:line="300" w:before="0" w:after="0"/>
        <w:ind w:left="1440" w:right="0" w:firstLine="720"/>
        <w:jc w:val="both"/>
        <w:rPr>
          <w:rFonts w:ascii="Times New Roman;Times;serif" w:hAnsi="Times New Roman;Times;serif"/>
          <w:color w:val="000000"/>
          <w:sz w:val="20"/>
        </w:rPr>
      </w:pPr>
      <w:r>
        <w:rPr>
          <w:rFonts w:ascii="Times New Roman;Times;serif" w:hAnsi="Times New Roman;Times;serif"/>
          <w:color w:val="000000"/>
          <w:sz w:val="20"/>
        </w:rPr>
        <w:t>(ii)          provide to Agent, promptly upon becoming aware thereof (and in any event within three (3) days after the occurrence thereof), a notice of each Event of Default known to an executive officer of the Company, together with a statement of such executive officer setting forth the details of such Event of Default and the actions which the Company has taken and proposes to take with respect thereto;</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1440" w:right="0" w:firstLine="720"/>
        <w:jc w:val="both"/>
        <w:rPr>
          <w:rFonts w:ascii="Times New Roman;Times;serif" w:hAnsi="Times New Roman;Times;serif"/>
          <w:color w:val="000000"/>
          <w:sz w:val="20"/>
        </w:rPr>
      </w:pPr>
      <w:r>
        <w:rPr>
          <w:rFonts w:ascii="Times New Roman;Times;serif" w:hAnsi="Times New Roman;Times;serif"/>
          <w:color w:val="000000"/>
          <w:sz w:val="20"/>
        </w:rPr>
        <w:t>(iii)          (a) pay and discharge as the same shall become due and payable: (i) all tax liabilities, assessments and governmental charges or levies upon it or its properties or assets, unless the same are being contested in good faith by appropriate proceedings diligently conducted (which proceedings have the effect of preventing the forfeiture or sale of the property or assets subject to any such Lien) and adequate reserves in accordance with GAAP are being maintained by the Company or such Subsidiary; (ii) all lawful claims which, if unpaid, would by law become a Lien upon its property, unless the same are being contested in good faith by appropriate proceedings diligently conducted (which proceedings have the effect of preventing the forfeiture or sale of the property or assets subject to any such Lien) and adequate reserves in accordance with GAAP are being maintained by the Company or such Subsidiary; and (iii) all Indebtedness, as and when due and payable, but subject to the terms of this Note; and (b) timely file all material tax returns required to be filed (subject to any valid extension);</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1440" w:right="0" w:firstLine="720"/>
        <w:jc w:val="both"/>
        <w:rPr>
          <w:rFonts w:ascii="Times New Roman;Times;serif" w:hAnsi="Times New Roman;Times;serif"/>
          <w:color w:val="000000"/>
          <w:sz w:val="20"/>
        </w:rPr>
      </w:pPr>
      <w:r>
        <w:rPr>
          <w:rFonts w:ascii="Times New Roman;Times;serif" w:hAnsi="Times New Roman;Times;serif"/>
          <w:color w:val="000000"/>
          <w:sz w:val="20"/>
        </w:rPr>
        <w:t>(iv)          (a) maintain, preserve and protect all of its material properties and equipment necessary in the operation of its business in good working order and condition, ordinary wear and tear excepted; and (b) make all necessary repairs thereto and renewals and replacements thereof except where the failure to do so could not reasonably be expected to have a Material Adverse Effect;</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1440" w:right="0" w:firstLine="720"/>
        <w:jc w:val="both"/>
        <w:rPr>
          <w:rFonts w:ascii="Times New Roman;Times;serif" w:hAnsi="Times New Roman;Times;serif"/>
          <w:color w:val="000000"/>
          <w:sz w:val="20"/>
        </w:rPr>
      </w:pPr>
      <w:r>
        <w:rPr>
          <w:rFonts w:ascii="Times New Roman;Times;serif" w:hAnsi="Times New Roman;Times;serif"/>
          <w:color w:val="000000"/>
          <w:sz w:val="20"/>
        </w:rPr>
        <w:t>(v)          comply in all material respects with the requirements of all applicable laws and all orders, writs, injunctions and decrees applicable to it or to its business or property;</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1440" w:right="0" w:firstLine="720"/>
        <w:jc w:val="both"/>
        <w:rPr>
          <w:rFonts w:ascii="Times New Roman;Times;serif" w:hAnsi="Times New Roman;Times;serif"/>
          <w:color w:val="000000"/>
          <w:sz w:val="20"/>
        </w:rPr>
      </w:pPr>
      <w:r>
        <w:rPr>
          <w:rFonts w:ascii="Times New Roman;Times;serif" w:hAnsi="Times New Roman;Times;serif"/>
          <w:color w:val="000000"/>
          <w:sz w:val="20"/>
        </w:rPr>
        <w:t>(vi)          [</w:t>
      </w:r>
      <w:r>
        <w:rPr>
          <w:rFonts w:ascii="Times New Roman;Times;serif" w:hAnsi="Times New Roman;Times;serif"/>
          <w:i/>
          <w:color w:val="000000"/>
          <w:sz w:val="20"/>
        </w:rPr>
        <w:t>reserved</w:t>
      </w:r>
      <w:r>
        <w:rPr>
          <w:rFonts w:ascii="Times New Roman;Times;serif" w:hAnsi="Times New Roman;Times;serif"/>
          <w:color w:val="000000"/>
          <w:sz w:val="20"/>
        </w:rPr>
        <w:t>];</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1440" w:right="0" w:firstLine="720"/>
        <w:jc w:val="both"/>
        <w:rPr>
          <w:rFonts w:ascii="Times New Roman;Times;serif" w:hAnsi="Times New Roman;Times;serif"/>
          <w:color w:val="000000"/>
          <w:sz w:val="20"/>
        </w:rPr>
      </w:pPr>
      <w:r>
        <w:rPr>
          <w:rFonts w:ascii="Times New Roman;Times;serif" w:hAnsi="Times New Roman;Times;serif"/>
          <w:color w:val="000000"/>
          <w:sz w:val="20"/>
        </w:rPr>
        <w:t>(vii)          maintain (a) insurance with financially sound and reputable insurance companies in at least the amounts (and with only those deductibles) customarily maintained, and against such risks as are typically insured against, by Persons of comparable size engaged in the same or similar business as the Company and its Subsidiaries; and (b) all worker’s compensation, employer’s liability insurance or similar insurance as may be required under the laws of any state or jurisdiction in which it may be engaged in business.  On and after the date that is thirty (30) days following the Closing Date, all such insurance policies required pursuant to clause (a) of this Section shall name the Agent as a loss payee (in the case of property or other casualty insurance) and an additional insured (in the case of liability insurance);</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1440" w:right="0" w:firstLine="720"/>
        <w:jc w:val="both"/>
        <w:rPr>
          <w:rFonts w:ascii="Times New Roman;Times;serif" w:hAnsi="Times New Roman;Times;serif"/>
          <w:color w:val="000000"/>
          <w:sz w:val="20"/>
        </w:rPr>
      </w:pPr>
      <w:r>
        <w:rPr>
          <w:rFonts w:ascii="Times New Roman;Times;serif" w:hAnsi="Times New Roman;Times;serif"/>
          <w:color w:val="000000"/>
          <w:sz w:val="20"/>
        </w:rPr>
        <w:t xml:space="preserve">(viii)          cause all payments due under this Note to (a) rank </w:t>
      </w:r>
      <w:r>
        <w:rPr>
          <w:rFonts w:ascii="Times New Roman;Times;serif" w:hAnsi="Times New Roman;Times;serif"/>
          <w:i/>
          <w:color w:val="000000"/>
          <w:sz w:val="20"/>
        </w:rPr>
        <w:t xml:space="preserve">pari passu </w:t>
      </w:r>
      <w:r>
        <w:rPr>
          <w:rFonts w:ascii="Times New Roman;Times;serif" w:hAnsi="Times New Roman;Times;serif"/>
          <w:color w:val="000000"/>
          <w:sz w:val="20"/>
        </w:rPr>
        <w:t>with each of (x) all other Notes, (y) all Additional Notes, and (z) all Existing Notes, and (b) be senior to all other Indebtedness of the Company and its Subsidiaries, subject to Permitted Liens.</w:t>
      </w:r>
    </w:p>
    <w:p>
      <w:pPr>
        <w:pStyle w:val="TextBody"/>
        <w:bidi w:val="0"/>
        <w:spacing w:lineRule="auto" w:line="300"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A - 15</w:t>
      </w:r>
    </w:p>
    <w:p>
      <w:pPr>
        <w:pStyle w:val="HorizontalLine"/>
        <w:pBdr>
          <w:bottom w:val="single" w:sz="12" w:space="0" w:color="808080"/>
        </w:pBdr>
        <w:bidi w:val="0"/>
        <w:spacing w:lineRule="auto" w:line="300" w:before="200" w:after="200"/>
        <w:jc w:val="left"/>
        <w:rPr/>
      </w:pPr>
      <w:r>
        <w:rPr/>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u w:val="single"/>
        </w:rPr>
        <w:t>Section 8</w:t>
      </w:r>
      <w:r>
        <w:rPr>
          <w:rFonts w:ascii="Times New Roman;Times;serif" w:hAnsi="Times New Roman;Times;serif"/>
          <w:color w:val="000000"/>
          <w:sz w:val="20"/>
        </w:rPr>
        <w:t>.          </w:t>
      </w:r>
      <w:r>
        <w:rPr>
          <w:rFonts w:ascii="Times New Roman;Times;serif" w:hAnsi="Times New Roman;Times;serif"/>
          <w:color w:val="000000"/>
          <w:sz w:val="20"/>
          <w:u w:val="single"/>
        </w:rPr>
        <w:t>Events of Default</w:t>
      </w:r>
      <w:r>
        <w:rPr>
          <w:rFonts w:ascii="Times New Roman;Times;serif" w:hAnsi="Times New Roman;Times;serif"/>
          <w:color w:val="000000"/>
          <w:sz w:val="20"/>
        </w:rPr>
        <w:t>.</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(a)          “</w:t>
      </w:r>
      <w:r>
        <w:rPr>
          <w:rFonts w:ascii="Times New Roman;Times;serif" w:hAnsi="Times New Roman;Times;serif"/>
          <w:color w:val="000000"/>
          <w:sz w:val="20"/>
          <w:u w:val="single"/>
        </w:rPr>
        <w:t>Event of Default</w:t>
      </w:r>
      <w:r>
        <w:rPr>
          <w:rFonts w:ascii="Times New Roman;Times;serif" w:hAnsi="Times New Roman;Times;serif"/>
          <w:color w:val="000000"/>
          <w:sz w:val="20"/>
        </w:rPr>
        <w:t>” means, wherever used herein, any of the following events (whatever the reason for such event and whether such event shall be voluntary or involuntary or effected by operation of law or pursuant to any judgment, decree or order of any court, or any order, rule or regulation of any administrative or governmental body):</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1440" w:right="0" w:firstLine="720"/>
        <w:jc w:val="both"/>
        <w:rPr>
          <w:rFonts w:ascii="Times New Roman;Times;serif" w:hAnsi="Times New Roman;Times;serif"/>
          <w:color w:val="000000"/>
          <w:sz w:val="20"/>
        </w:rPr>
      </w:pPr>
      <w:r>
        <w:rPr>
          <w:rFonts w:ascii="Times New Roman;Times;serif" w:hAnsi="Times New Roman;Times;serif"/>
          <w:color w:val="000000"/>
          <w:sz w:val="20"/>
        </w:rPr>
        <w:t xml:space="preserve">(i)          any default in the payment of (A) the principal amount of any Note or (B) interest, liquidated damages and other amounts owing to a Holder on any Note, as and when the same shall become due and payable (whether on a Conversion Date or the Maturity Date or by acceleration or otherwise) which default, solely in the case of an interest payment or other default under </w:t>
      </w:r>
      <w:r>
        <w:rPr>
          <w:rFonts w:ascii="Times New Roman;Times;serif" w:hAnsi="Times New Roman;Times;serif"/>
          <w:color w:val="000000"/>
          <w:sz w:val="20"/>
          <w:u w:val="single"/>
        </w:rPr>
        <w:t>clause (B</w:t>
      </w:r>
      <w:r>
        <w:rPr>
          <w:rFonts w:ascii="Times New Roman;Times;serif" w:hAnsi="Times New Roman;Times;serif"/>
          <w:color w:val="000000"/>
          <w:sz w:val="20"/>
        </w:rPr>
        <w:t>) above, is not cured within three (3) Trading Days;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1440" w:right="0" w:firstLine="720"/>
        <w:jc w:val="both"/>
        <w:rPr>
          <w:rFonts w:ascii="Times New Roman;Times;serif" w:hAnsi="Times New Roman;Times;serif"/>
          <w:color w:val="000000"/>
          <w:sz w:val="20"/>
        </w:rPr>
      </w:pPr>
      <w:r>
        <w:rPr>
          <w:rFonts w:ascii="Times New Roman;Times;serif" w:hAnsi="Times New Roman;Times;serif"/>
          <w:color w:val="000000"/>
          <w:sz w:val="20"/>
        </w:rPr>
        <w:t xml:space="preserve">(ii)          the Company shall fail to observe or perform any other covenant or agreement contained in the Notes (other than a breach by the Company of its obligations to deliver Ordinary Shares to the Holder upon conversion, which breach is addressed in </w:t>
      </w:r>
      <w:r>
        <w:rPr>
          <w:rFonts w:ascii="Times New Roman;Times;serif" w:hAnsi="Times New Roman;Times;serif"/>
          <w:color w:val="000000"/>
          <w:sz w:val="20"/>
          <w:u w:val="single"/>
        </w:rPr>
        <w:t>clause (xii</w:t>
      </w:r>
      <w:r>
        <w:rPr>
          <w:rFonts w:ascii="Times New Roman;Times;serif" w:hAnsi="Times New Roman;Times;serif"/>
          <w:color w:val="000000"/>
          <w:sz w:val="20"/>
        </w:rPr>
        <w:t>) below) or in any Transaction Document, which failure is not cured, if possible to cure, within the earlier to occur of (A) ten (10) Trading Days after notice of such failure sent by the Holder or by any other Holder to the Company and (B) twenty (20) Trading Days after the Company has become aware of such failure;</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1440" w:right="0" w:firstLine="720"/>
        <w:jc w:val="both"/>
        <w:rPr>
          <w:rFonts w:ascii="Times New Roman;Times;serif" w:hAnsi="Times New Roman;Times;serif"/>
          <w:color w:val="000000"/>
          <w:sz w:val="20"/>
        </w:rPr>
      </w:pPr>
      <w:r>
        <w:rPr>
          <w:rFonts w:ascii="Times New Roman;Times;serif" w:hAnsi="Times New Roman;Times;serif"/>
          <w:color w:val="000000"/>
          <w:sz w:val="20"/>
        </w:rPr>
        <w:t xml:space="preserve">(iii)          a default or event of default (subject to any grace or cure period provided in the applicable agreement, document or instrument) shall occur under (A) any of the Transaction Documents or (B) any other material agreement, lease, document or instrument to which the Company or any Subsidiary is obligated (and not covered by </w:t>
      </w:r>
      <w:r>
        <w:rPr>
          <w:rFonts w:ascii="Times New Roman;Times;serif" w:hAnsi="Times New Roman;Times;serif"/>
          <w:color w:val="000000"/>
          <w:sz w:val="20"/>
          <w:u w:val="single"/>
        </w:rPr>
        <w:t>clause (vi</w:t>
      </w:r>
      <w:r>
        <w:rPr>
          <w:rFonts w:ascii="Times New Roman;Times;serif" w:hAnsi="Times New Roman;Times;serif"/>
          <w:color w:val="000000"/>
          <w:sz w:val="20"/>
        </w:rPr>
        <w:t>) below);</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1440" w:right="0" w:firstLine="720"/>
        <w:jc w:val="both"/>
        <w:rPr>
          <w:rFonts w:ascii="Times New Roman;Times;serif" w:hAnsi="Times New Roman;Times;serif"/>
          <w:color w:val="000000"/>
          <w:sz w:val="20"/>
        </w:rPr>
      </w:pPr>
      <w:r>
        <w:rPr>
          <w:rFonts w:ascii="Times New Roman;Times;serif" w:hAnsi="Times New Roman;Times;serif"/>
          <w:color w:val="000000"/>
          <w:sz w:val="20"/>
        </w:rPr>
        <w:t>(iv)          any representation or warranty made in this Note, any other Transaction Documents, any written statement pursuant hereto or thereto or any other report, financial statement or certificate made or delivered to the Holder or any other Holder shall be untrue or incorrect in any material respect as of the date when made or deemed made;</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1440" w:right="0" w:firstLine="720"/>
        <w:jc w:val="both"/>
        <w:rPr>
          <w:rFonts w:ascii="Times New Roman;Times;serif" w:hAnsi="Times New Roman;Times;serif"/>
          <w:color w:val="000000"/>
          <w:sz w:val="20"/>
        </w:rPr>
      </w:pPr>
      <w:r>
        <w:rPr>
          <w:rFonts w:ascii="Times New Roman;Times;serif" w:hAnsi="Times New Roman;Times;serif"/>
          <w:color w:val="000000"/>
          <w:sz w:val="20"/>
        </w:rPr>
        <w:t>(v)          the Company or any Subsidiary shall be subject to a Bankruptcy Event;</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1440" w:right="0" w:firstLine="720"/>
        <w:jc w:val="both"/>
        <w:rPr>
          <w:rFonts w:ascii="Times New Roman;Times;serif" w:hAnsi="Times New Roman;Times;serif"/>
          <w:color w:val="000000"/>
          <w:sz w:val="20"/>
        </w:rPr>
      </w:pPr>
      <w:r>
        <w:rPr>
          <w:rFonts w:ascii="Times New Roman;Times;serif" w:hAnsi="Times New Roman;Times;serif"/>
          <w:color w:val="000000"/>
          <w:sz w:val="20"/>
        </w:rPr>
        <w:t>(vi)          the Company or any Subsidiary shall default on any of its obligations under any Indebtedness, that (a) involves an obligation greater than $500,000, whether such Indebtedness now exists or shall hereafter be created, and (b) results in such Indebtedness in excess of $500,000 becoming or being declared due and payable prior to the date on which it would otherwise become due and payable;</w:t>
      </w:r>
    </w:p>
    <w:p>
      <w:pPr>
        <w:pStyle w:val="TextBody"/>
        <w:bidi w:val="0"/>
        <w:spacing w:lineRule="auto" w:line="300"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A - 16</w:t>
      </w:r>
    </w:p>
    <w:p>
      <w:pPr>
        <w:pStyle w:val="HorizontalLine"/>
        <w:pBdr>
          <w:bottom w:val="single" w:sz="12" w:space="0" w:color="808080"/>
        </w:pBdr>
        <w:bidi w:val="0"/>
        <w:spacing w:lineRule="auto" w:line="300" w:before="200" w:after="200"/>
        <w:jc w:val="left"/>
        <w:rPr/>
      </w:pPr>
      <w:r>
        <w:rPr/>
      </w:r>
    </w:p>
    <w:p>
      <w:pPr>
        <w:pStyle w:val="TextBody"/>
        <w:bidi w:val="0"/>
        <w:spacing w:lineRule="auto" w:line="300" w:before="0" w:after="0"/>
        <w:ind w:left="1440" w:right="0" w:firstLine="720"/>
        <w:jc w:val="both"/>
        <w:rPr>
          <w:rFonts w:ascii="Times New Roman;Times;serif" w:hAnsi="Times New Roman;Times;serif"/>
          <w:color w:val="000000"/>
          <w:sz w:val="20"/>
        </w:rPr>
      </w:pPr>
      <w:r>
        <w:rPr>
          <w:rFonts w:ascii="Times New Roman;Times;serif" w:hAnsi="Times New Roman;Times;serif"/>
          <w:color w:val="000000"/>
          <w:sz w:val="20"/>
        </w:rPr>
        <w:t>(vii)          the Ordinary Shares shall not be eligible for listing or quotation for trading on a Trading Market and shall not be eligible to resume listing or quotation for trading thereon within five (5) Trading Days;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1440" w:right="0" w:firstLine="720"/>
        <w:jc w:val="both"/>
        <w:rPr>
          <w:rFonts w:ascii="Times New Roman;Times;serif" w:hAnsi="Times New Roman;Times;serif"/>
          <w:color w:val="000000"/>
          <w:sz w:val="20"/>
        </w:rPr>
      </w:pPr>
      <w:r>
        <w:rPr>
          <w:rFonts w:ascii="Times New Roman;Times;serif" w:hAnsi="Times New Roman;Times;serif"/>
          <w:color w:val="000000"/>
          <w:sz w:val="20"/>
        </w:rPr>
        <w:t>(viii)          the Company (and all of its Subsidiaries, taken as a whole) shall be a party to any (A) Change of Control Transaction or (B) Fundamental Transaction;</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1440" w:right="0" w:firstLine="720"/>
        <w:jc w:val="both"/>
        <w:rPr>
          <w:rFonts w:ascii="Times New Roman;Times;serif" w:hAnsi="Times New Roman;Times;serif"/>
          <w:color w:val="000000"/>
          <w:sz w:val="20"/>
        </w:rPr>
      </w:pPr>
      <w:r>
        <w:rPr>
          <w:rFonts w:ascii="Times New Roman;Times;serif" w:hAnsi="Times New Roman;Times;serif"/>
          <w:color w:val="000000"/>
          <w:sz w:val="20"/>
        </w:rPr>
        <w:t>(ix)          [</w:t>
      </w:r>
      <w:r>
        <w:rPr>
          <w:rFonts w:ascii="Times New Roman;Times;serif" w:hAnsi="Times New Roman;Times;serif"/>
          <w:i/>
          <w:color w:val="000000"/>
          <w:sz w:val="20"/>
        </w:rPr>
        <w:t>reserved</w:t>
      </w:r>
      <w:r>
        <w:rPr>
          <w:rFonts w:ascii="Times New Roman;Times;serif" w:hAnsi="Times New Roman;Times;serif"/>
          <w:color w:val="000000"/>
          <w:sz w:val="20"/>
        </w:rPr>
        <w:t>];</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1440" w:right="0" w:firstLine="720"/>
        <w:jc w:val="both"/>
        <w:rPr>
          <w:rFonts w:ascii="Times New Roman;Times;serif" w:hAnsi="Times New Roman;Times;serif"/>
          <w:color w:val="000000"/>
          <w:sz w:val="20"/>
        </w:rPr>
      </w:pPr>
      <w:r>
        <w:rPr>
          <w:rFonts w:ascii="Times New Roman;Times;serif" w:hAnsi="Times New Roman;Times;serif"/>
          <w:color w:val="000000"/>
          <w:sz w:val="20"/>
        </w:rPr>
        <w:t>(x)          [</w:t>
      </w:r>
      <w:r>
        <w:rPr>
          <w:rFonts w:ascii="Times New Roman;Times;serif" w:hAnsi="Times New Roman;Times;serif"/>
          <w:i/>
          <w:color w:val="000000"/>
          <w:sz w:val="20"/>
        </w:rPr>
        <w:t>reserved</w:t>
      </w:r>
      <w:r>
        <w:rPr>
          <w:rFonts w:ascii="Times New Roman;Times;serif" w:hAnsi="Times New Roman;Times;serif"/>
          <w:color w:val="000000"/>
          <w:sz w:val="20"/>
        </w:rPr>
        <w:t>];</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1440" w:right="0" w:firstLine="720"/>
        <w:jc w:val="both"/>
        <w:rPr>
          <w:rFonts w:ascii="Times New Roman;Times;serif" w:hAnsi="Times New Roman;Times;serif"/>
          <w:color w:val="000000"/>
          <w:sz w:val="20"/>
        </w:rPr>
      </w:pPr>
      <w:r>
        <w:rPr>
          <w:rFonts w:ascii="Times New Roman;Times;serif" w:hAnsi="Times New Roman;Times;serif"/>
          <w:color w:val="000000"/>
          <w:sz w:val="20"/>
        </w:rPr>
        <w:t>(xi)          the occurrence of any Public Information Failure (as defined in the Purchase Agreement) that remains uncured for at least ten (10) calendar days or any restatement of any of the financial statements included in any Annual Report on Form 10-K or Current Report on Form 8-K of the Company;</w:t>
      </w:r>
    </w:p>
    <w:p>
      <w:pPr>
        <w:pStyle w:val="TextBody"/>
        <w:bidi w:val="0"/>
        <w:spacing w:lineRule="auto" w:line="300" w:before="0" w:after="0"/>
        <w:jc w:val="left"/>
        <w:rPr>
          <w:color w:val="000000"/>
        </w:rPr>
      </w:pPr>
      <w:r>
        <w:rPr>
          <w:color w:val="000000"/>
        </w:rPr>
        <w:t> </w:t>
      </w:r>
    </w:p>
    <w:p>
      <w:pPr>
        <w:pStyle w:val="TextBody"/>
        <w:bidi w:val="0"/>
        <w:spacing w:lineRule="auto" w:line="240" w:before="0" w:after="0"/>
        <w:ind w:left="1440" w:right="0" w:firstLine="720"/>
        <w:jc w:val="both"/>
        <w:rPr>
          <w:rFonts w:ascii="Times New Roman;Times;serif" w:hAnsi="Times New Roman;Times;serif"/>
          <w:color w:val="000000"/>
          <w:sz w:val="20"/>
        </w:rPr>
      </w:pPr>
      <w:r>
        <w:rPr>
          <w:rFonts w:ascii="Times New Roman;Times;serif" w:hAnsi="Times New Roman;Times;serif"/>
          <w:color w:val="000000"/>
          <w:sz w:val="20"/>
        </w:rPr>
        <w:t xml:space="preserve">(xii)          the Company shall fail for any reason to deliver Conversion Shares to a Holder prior to the fifth (5th) Trading Day after a Conversion Date pursuant to </w:t>
      </w:r>
      <w:r>
        <w:rPr>
          <w:rFonts w:ascii="Times New Roman;Times;serif" w:hAnsi="Times New Roman;Times;serif"/>
          <w:color w:val="000000"/>
          <w:sz w:val="20"/>
          <w:u w:val="single"/>
        </w:rPr>
        <w:t>Section 4(c</w:t>
      </w:r>
      <w:r>
        <w:rPr>
          <w:rFonts w:ascii="Times New Roman;Times;serif" w:hAnsi="Times New Roman;Times;serif"/>
          <w:color w:val="000000"/>
          <w:sz w:val="20"/>
        </w:rPr>
        <w:t>) or Exercise Date (as defined in the Warrants), or the Company shall provide at any time notice to the Holder, including by way of public announcement, of the Company’s intention to not honor requests for conversions of any Notes in accordance with the terms hereof;</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1440" w:right="0" w:firstLine="720"/>
        <w:jc w:val="both"/>
        <w:rPr>
          <w:rFonts w:ascii="Times New Roman;Times;serif" w:hAnsi="Times New Roman;Times;serif"/>
          <w:color w:val="000000"/>
          <w:sz w:val="20"/>
        </w:rPr>
      </w:pPr>
      <w:r>
        <w:rPr>
          <w:rFonts w:ascii="Times New Roman;Times;serif" w:hAnsi="Times New Roman;Times;serif"/>
          <w:color w:val="000000"/>
          <w:sz w:val="20"/>
        </w:rPr>
        <w:t>(xiii)          the electronic transfer by the Company of Ordinary Shares through the Depository Trust Company or another established clearing corporation is no longer available or is subject to a “chill”;</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1440" w:right="0" w:firstLine="720"/>
        <w:jc w:val="both"/>
        <w:rPr>
          <w:rFonts w:ascii="Times New Roman;Times;serif" w:hAnsi="Times New Roman;Times;serif"/>
          <w:color w:val="000000"/>
          <w:sz w:val="20"/>
        </w:rPr>
      </w:pPr>
      <w:r>
        <w:rPr>
          <w:rFonts w:ascii="Times New Roman;Times;serif" w:hAnsi="Times New Roman;Times;serif"/>
          <w:color w:val="000000"/>
          <w:sz w:val="20"/>
        </w:rPr>
        <w:t>(xiv)          any final, non-appealable monetary judgment, writ or similar final process shall be entered or filed against the Company, any Subsidiary or any of their respective property or other assets for more than $250,000 (to the extent not covered by insurance for which the carrier has not disclaimed liability), and such judgment, writ or similar final process shall remain unvacated, unsatisfied, unbonded or unstayed for a period of 45 calendar days;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1440" w:right="0" w:firstLine="720"/>
        <w:jc w:val="both"/>
        <w:rPr>
          <w:rFonts w:ascii="Times New Roman;Times;serif" w:hAnsi="Times New Roman;Times;serif"/>
          <w:color w:val="000000"/>
          <w:sz w:val="20"/>
        </w:rPr>
      </w:pPr>
      <w:r>
        <w:rPr>
          <w:rFonts w:ascii="Times New Roman;Times;serif" w:hAnsi="Times New Roman;Times;serif"/>
          <w:color w:val="000000"/>
          <w:sz w:val="20"/>
        </w:rPr>
        <w:t>(xv)          any Security Document shall for any reason (other than solely as a result of any action or inaction by the Secured Parties (as defined in the Security Agreement)) fail or cease to create a valid Lien on any material portion of the Collateral (as defined in the Security Agreement) in favor of the Holder (or, to the extent applicable, the Agent on behalf of the Holders); or any material provision of any Security Document shall at any time for any reason (other than solely as a result of any action or inaction by the Secured Parties (as defined in the Security Agreement)) cease to be valid and binding on or enforceable against the Company, the validity or enforceability thereof shall be contested by the Company, or a proceeding shall be commenced by the Company, or any governmental authority having jurisdiction over the Company, seeking to establish the invalidity or unenforceability thereof;</w:t>
      </w:r>
    </w:p>
    <w:p>
      <w:pPr>
        <w:pStyle w:val="TextBody"/>
        <w:bidi w:val="0"/>
        <w:spacing w:lineRule="auto" w:line="300"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A - 17</w:t>
      </w:r>
    </w:p>
    <w:p>
      <w:pPr>
        <w:pStyle w:val="HorizontalLine"/>
        <w:pBdr>
          <w:bottom w:val="single" w:sz="12" w:space="0" w:color="808080"/>
        </w:pBdr>
        <w:bidi w:val="0"/>
        <w:spacing w:lineRule="auto" w:line="300" w:before="200" w:after="200"/>
        <w:jc w:val="left"/>
        <w:rPr/>
      </w:pPr>
      <w:r>
        <w:rPr/>
      </w:r>
    </w:p>
    <w:p>
      <w:pPr>
        <w:pStyle w:val="TextBody"/>
        <w:bidi w:val="0"/>
        <w:spacing w:lineRule="auto" w:line="300" w:before="0" w:after="0"/>
        <w:ind w:left="1440" w:right="0" w:firstLine="720"/>
        <w:jc w:val="both"/>
        <w:rPr>
          <w:rFonts w:ascii="Times New Roman;Times;serif" w:hAnsi="Times New Roman;Times;serif"/>
          <w:color w:val="000000"/>
          <w:sz w:val="20"/>
        </w:rPr>
      </w:pPr>
      <w:r>
        <w:rPr>
          <w:rFonts w:ascii="Times New Roman;Times;serif" w:hAnsi="Times New Roman;Times;serif"/>
          <w:color w:val="000000"/>
          <w:sz w:val="20"/>
        </w:rPr>
        <w:t>(xvi)          the occurrence of a Material Adverse Effect; or</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1440" w:right="0" w:firstLine="720"/>
        <w:jc w:val="both"/>
        <w:rPr>
          <w:rFonts w:ascii="Times New Roman;Times;serif" w:hAnsi="Times New Roman;Times;serif"/>
          <w:color w:val="000000"/>
          <w:sz w:val="20"/>
        </w:rPr>
      </w:pPr>
      <w:r>
        <w:rPr>
          <w:rFonts w:ascii="Times New Roman;Times;serif" w:hAnsi="Times New Roman;Times;serif"/>
          <w:color w:val="000000"/>
          <w:sz w:val="20"/>
        </w:rPr>
        <w:t>(xvii)          an Authorized Share Failure occurs and the Company does not obtain the shareholder approval contemplated in Section 4(c)(vi) hereof within the time periods required by such Section.</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810"/>
        <w:jc w:val="both"/>
        <w:rPr>
          <w:rFonts w:ascii="Times New Roman;Times;serif" w:hAnsi="Times New Roman;Times;serif"/>
          <w:color w:val="000000"/>
          <w:sz w:val="20"/>
        </w:rPr>
      </w:pPr>
      <w:r>
        <w:rPr>
          <w:rFonts w:ascii="Times New Roman;Times;serif" w:hAnsi="Times New Roman;Times;serif"/>
          <w:color w:val="000000"/>
          <w:sz w:val="20"/>
        </w:rPr>
        <w:t>(b)          </w:t>
      </w:r>
      <w:r>
        <w:rPr>
          <w:rFonts w:ascii="Times New Roman;Times;serif" w:hAnsi="Times New Roman;Times;serif"/>
          <w:color w:val="000000"/>
          <w:sz w:val="20"/>
          <w:u w:val="single"/>
        </w:rPr>
        <w:t>Remedies Upon Event of Default</w:t>
      </w:r>
      <w:r>
        <w:rPr>
          <w:rFonts w:ascii="Times New Roman;Times;serif" w:hAnsi="Times New Roman;Times;serif"/>
          <w:color w:val="000000"/>
          <w:sz w:val="20"/>
        </w:rPr>
        <w:t xml:space="preserve">. If any Event of Default occurs and is continuing, the outstanding principal amount of this Note plus accrued but unpaid interest, liquidated damages and other amounts owing in respect thereof through the date of acceleration, shall become, at the election of the Majority Holders, immediately due and payable in cash; </w:t>
      </w:r>
      <w:r>
        <w:rPr>
          <w:rFonts w:ascii="Times New Roman;Times;serif" w:hAnsi="Times New Roman;Times;serif"/>
          <w:color w:val="000000"/>
          <w:sz w:val="20"/>
          <w:u w:val="single"/>
        </w:rPr>
        <w:t>provided</w:t>
      </w:r>
      <w:r>
        <w:rPr>
          <w:rFonts w:ascii="Times New Roman;Times;serif" w:hAnsi="Times New Roman;Times;serif"/>
          <w:color w:val="000000"/>
          <w:sz w:val="20"/>
        </w:rPr>
        <w:t> </w:t>
      </w:r>
      <w:r>
        <w:rPr>
          <w:rFonts w:ascii="Times New Roman;Times;serif" w:hAnsi="Times New Roman;Times;serif"/>
          <w:color w:val="000000"/>
          <w:sz w:val="20"/>
          <w:u w:val="single"/>
        </w:rPr>
        <w:t>that</w:t>
      </w:r>
      <w:r>
        <w:rPr>
          <w:rFonts w:ascii="Times New Roman;Times;serif" w:hAnsi="Times New Roman;Times;serif"/>
          <w:color w:val="000000"/>
          <w:sz w:val="20"/>
        </w:rPr>
        <w:t xml:space="preserve"> such acceleration shall be automatic, without any notice or other action of the Majority Holders is required, in respect of an Event of Default occurring pursuant to clause (v) of Section 8(a). Commencing five (5) days after the occurrence and continuance of any Event of Default (“</w:t>
      </w:r>
      <w:r>
        <w:rPr>
          <w:rFonts w:ascii="Times New Roman;Times;serif" w:hAnsi="Times New Roman;Times;serif"/>
          <w:color w:val="000000"/>
          <w:sz w:val="20"/>
          <w:u w:val="single"/>
        </w:rPr>
        <w:t>Interest Accrual Date</w:t>
      </w:r>
      <w:r>
        <w:rPr>
          <w:rFonts w:ascii="Times New Roman;Times;serif" w:hAnsi="Times New Roman;Times;serif"/>
          <w:color w:val="000000"/>
          <w:sz w:val="20"/>
        </w:rPr>
        <w:t>”), the interest on this Note shall accrue retroactively beginning on the Original Issue Date, at an interest rate equal to the lesser of 15.0% per annum or the maximum rate permitted under applicable law. In connection with such acceleration described herein, the Majority Holders need not provide, and the Company hereby waives, any presentment, demand, protest or other notice of any kind, and the Majority Holders may immediately and without expiration of any grace period enforce any and all of its rights and remedies hereunder and all other remedies available to it under applicable law. Such acceleration may be rescinded and annulled by the Majority Holders at any time prior to payment hereunder and the Holder shall have all rights as a holder of the Note until such time, if any, as the Holder receives full payment pursuant to this Section 8(b). No such rescission or annulment shall affect any subsequent Event of Default or impair any right consequent thereon. After the exercise of remedies provided for in this Section 8(b) or upon such automatic acceleration (as applicable), any amounts received by the Agent on account of this Note or any other Note (as such term is defined in the Security Agreement) shall be applied by the Agent in accordance with Section 9 of the Security Agreement.</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u w:val="single"/>
        </w:rPr>
        <w:t>Section 9.</w:t>
      </w:r>
      <w:r>
        <w:rPr>
          <w:rFonts w:ascii="Times New Roman;Times;serif" w:hAnsi="Times New Roman;Times;serif"/>
          <w:color w:val="000000"/>
          <w:sz w:val="20"/>
        </w:rPr>
        <w:t>          </w:t>
      </w:r>
      <w:r>
        <w:rPr>
          <w:rFonts w:ascii="Times New Roman;Times;serif" w:hAnsi="Times New Roman;Times;serif"/>
          <w:color w:val="000000"/>
          <w:sz w:val="20"/>
          <w:u w:val="single"/>
        </w:rPr>
        <w:t>Redemption</w:t>
      </w:r>
      <w:r>
        <w:rPr>
          <w:rFonts w:ascii="Times New Roman;Times;serif" w:hAnsi="Times New Roman;Times;serif"/>
          <w:color w:val="000000"/>
          <w:sz w:val="20"/>
        </w:rPr>
        <w:t>.</w:t>
      </w:r>
    </w:p>
    <w:p>
      <w:pPr>
        <w:pStyle w:val="TextBody"/>
        <w:bidi w:val="0"/>
        <w:spacing w:lineRule="auto" w:line="300" w:before="0" w:after="0"/>
        <w:jc w:val="left"/>
        <w:rPr>
          <w:color w:val="000000"/>
        </w:rPr>
      </w:pPr>
      <w:r>
        <w:rPr>
          <w:color w:val="000000"/>
        </w:rPr>
        <w:t> </w:t>
      </w:r>
    </w:p>
    <w:p>
      <w:pPr>
        <w:pStyle w:val="Normal"/>
        <w:bidi w:val="0"/>
        <w:spacing w:lineRule="auto" w:line="300" w:before="0" w:after="0"/>
        <w:jc w:val="left"/>
        <w:rPr>
          <w:sz w:val="4"/>
          <w:szCs w:val="4"/>
        </w:rPr>
      </w:pPr>
      <w:r>
        <w:rPr>
          <w:sz w:val="4"/>
          <w:szCs w:val="4"/>
        </w:rPr>
      </w:r>
      <w:bookmarkStart w:id="230" w:name="zc9a1c24cc0c94fe59ca76729859e47f2"/>
      <w:bookmarkStart w:id="231" w:name="zc9a1c24cc0c94fe59ca76729859e47f2"/>
      <w:bookmarkEnd w:id="231"/>
    </w:p>
    <w:tbl>
      <w:tblPr>
        <w:tblW w:w="5463" w:type="dxa"/>
        <w:jc w:val="left"/>
        <w:tblInd w:w="0" w:type="dxa"/>
        <w:tblLayout w:type="fixed"/>
        <w:tblCellMar>
          <w:top w:w="0" w:type="dxa"/>
          <w:left w:w="0" w:type="dxa"/>
          <w:bottom w:w="0" w:type="dxa"/>
          <w:right w:w="0" w:type="dxa"/>
        </w:tblCellMar>
      </w:tblPr>
      <w:tblGrid>
        <w:gridCol w:w="38"/>
        <w:gridCol w:w="230"/>
        <w:gridCol w:w="5195"/>
      </w:tblGrid>
      <w:tr>
        <w:trPr/>
        <w:tc>
          <w:tcPr>
            <w:tcW w:w="38" w:type="dxa"/>
            <w:tcBorders/>
            <w:vAlign w:val="center"/>
          </w:tcPr>
          <w:p>
            <w:pPr>
              <w:pStyle w:val="TableContents"/>
              <w:bidi w:val="0"/>
              <w:spacing w:before="0" w:after="283"/>
              <w:jc w:val="left"/>
              <w:rPr/>
            </w:pPr>
            <w:r>
              <w:rPr/>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519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u w:val="single"/>
              </w:rPr>
              <w:t>Mandatory Redemption upon a Change of Control Transaction</w:t>
            </w:r>
            <w:r>
              <w:rPr>
                <w:rFonts w:ascii="Times New Roman;Times;serif" w:hAnsi="Times New Roman;Times;serif"/>
                <w:sz w:val="20"/>
              </w:rPr>
              <w:t>.</w:t>
            </w:r>
          </w:p>
        </w:tc>
      </w:tr>
    </w:tbl>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1260" w:right="0" w:firstLine="1266"/>
        <w:jc w:val="both"/>
        <w:rPr>
          <w:rFonts w:ascii="Times New Roman;Times;serif" w:hAnsi="Times New Roman;Times;serif"/>
          <w:color w:val="000000"/>
          <w:sz w:val="20"/>
        </w:rPr>
      </w:pPr>
      <w:r>
        <w:rPr>
          <w:rFonts w:ascii="Times New Roman;Times;serif" w:hAnsi="Times New Roman;Times;serif"/>
          <w:color w:val="000000"/>
          <w:sz w:val="20"/>
        </w:rPr>
        <w:t xml:space="preserve">(i)          At any time after the Original Issue Date, to the extent that there occurs a Change of Control Transaction, the Holder shall have the right, by delivering written notice to the Company, to cause the Company to redeem all or any portion of the Notes then outstanding, </w:t>
      </w:r>
      <w:r>
        <w:rPr>
          <w:rFonts w:ascii="Times New Roman;Times;serif" w:hAnsi="Times New Roman;Times;serif"/>
          <w:i/>
          <w:color w:val="000000"/>
          <w:sz w:val="20"/>
        </w:rPr>
        <w:t>plus</w:t>
      </w:r>
      <w:r>
        <w:rPr>
          <w:rFonts w:ascii="Times New Roman;Times;serif" w:hAnsi="Times New Roman;Times;serif"/>
          <w:color w:val="000000"/>
          <w:sz w:val="20"/>
        </w:rPr>
        <w:t xml:space="preserve"> all accrued and unpaid interest thereon (a “</w:t>
      </w:r>
      <w:r>
        <w:rPr>
          <w:rFonts w:ascii="Times New Roman;Times;serif" w:hAnsi="Times New Roman;Times;serif"/>
          <w:color w:val="000000"/>
          <w:sz w:val="20"/>
          <w:u w:val="single"/>
        </w:rPr>
        <w:t>Change of Control Redemption</w:t>
      </w:r>
      <w:r>
        <w:rPr>
          <w:rFonts w:ascii="Times New Roman;Times;serif" w:hAnsi="Times New Roman;Times;serif"/>
          <w:color w:val="000000"/>
          <w:sz w:val="20"/>
        </w:rPr>
        <w:t xml:space="preserve">”). The Notes subject to redemption pursuant to this Section 9(a) shall be redeemed by the Company in cash at a price equal to the product of (i) 105% and (ii) the aggregate principal amount of the Notes being redeemed, </w:t>
      </w:r>
      <w:r>
        <w:rPr>
          <w:rFonts w:ascii="Times New Roman;Times;serif" w:hAnsi="Times New Roman;Times;serif"/>
          <w:i/>
          <w:color w:val="000000"/>
          <w:sz w:val="20"/>
        </w:rPr>
        <w:t>plus</w:t>
      </w:r>
      <w:r>
        <w:rPr>
          <w:rFonts w:ascii="Times New Roman;Times;serif" w:hAnsi="Times New Roman;Times;serif"/>
          <w:color w:val="000000"/>
          <w:sz w:val="20"/>
        </w:rPr>
        <w:t xml:space="preserve"> and all accrued and unpaid interest thereon.</w:t>
      </w:r>
    </w:p>
    <w:p>
      <w:pPr>
        <w:pStyle w:val="TextBody"/>
        <w:bidi w:val="0"/>
        <w:spacing w:lineRule="auto" w:line="300"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A - 18</w:t>
      </w:r>
    </w:p>
    <w:p>
      <w:pPr>
        <w:pStyle w:val="HorizontalLine"/>
        <w:pBdr>
          <w:bottom w:val="single" w:sz="12" w:space="0" w:color="808080"/>
        </w:pBdr>
        <w:bidi w:val="0"/>
        <w:spacing w:lineRule="auto" w:line="300" w:before="200" w:after="200"/>
        <w:jc w:val="left"/>
        <w:rPr/>
      </w:pPr>
      <w:r>
        <w:rPr/>
      </w:r>
    </w:p>
    <w:p>
      <w:pPr>
        <w:pStyle w:val="TextBody"/>
        <w:bidi w:val="0"/>
        <w:spacing w:lineRule="auto" w:line="300" w:before="0" w:after="0"/>
        <w:ind w:left="1260" w:right="0" w:firstLine="1266"/>
        <w:jc w:val="both"/>
        <w:rPr>
          <w:rFonts w:ascii="Times New Roman;Times;serif" w:hAnsi="Times New Roman;Times;serif"/>
          <w:color w:val="000000"/>
          <w:sz w:val="20"/>
        </w:rPr>
      </w:pPr>
      <w:r>
        <w:rPr>
          <w:rFonts w:ascii="Times New Roman;Times;serif" w:hAnsi="Times New Roman;Times;serif"/>
          <w:color w:val="000000"/>
          <w:sz w:val="20"/>
        </w:rPr>
        <w:t>(ii)          With respect to any portion of this Note which has been specified to be redeemed by the Company pursuant to the Change of Control Redemption and which has been redeemed in accordance with the provisions of this Section 9(a), (i) such portion of this Note shall no longer be deemed outstanding and (ii) all rights with respect to such portion of this Note shall cease and terminate.</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1260" w:right="0" w:firstLine="1266"/>
        <w:jc w:val="both"/>
        <w:rPr>
          <w:rFonts w:ascii="Times New Roman;Times;serif" w:hAnsi="Times New Roman;Times;serif"/>
          <w:color w:val="000000"/>
          <w:sz w:val="20"/>
        </w:rPr>
      </w:pPr>
      <w:r>
        <w:rPr>
          <w:rFonts w:ascii="Times New Roman;Times;serif" w:hAnsi="Times New Roman;Times;serif"/>
          <w:color w:val="000000"/>
          <w:sz w:val="20"/>
        </w:rPr>
        <w:t>(iii)          In the event of the Company’s redemption of any portion of this Note under this Section 9(a), a Holder’s damages would be uncertain and difficult to estimate because of the parties’ inability to predict future interest rates and the uncertainty of the availability of a suitable substitute investment opportunity for such Holder. Accordingly, any redemption premium due under this Section 9(a) is intended by the parties to be, and shall be deemed, a reasonable estimate of such Holder’s actual loss of its investment opportunity and not as a penalty.</w:t>
      </w:r>
    </w:p>
    <w:p>
      <w:pPr>
        <w:pStyle w:val="TextBody"/>
        <w:bidi w:val="0"/>
        <w:spacing w:lineRule="auto" w:line="300" w:before="0" w:after="0"/>
        <w:jc w:val="left"/>
        <w:rPr>
          <w:color w:val="000000"/>
        </w:rPr>
      </w:pPr>
      <w:r>
        <w:rPr>
          <w:color w:val="000000"/>
        </w:rPr>
        <w:t> </w:t>
      </w:r>
    </w:p>
    <w:p>
      <w:pPr>
        <w:pStyle w:val="Normal"/>
        <w:bidi w:val="0"/>
        <w:spacing w:lineRule="auto" w:line="300" w:before="0" w:after="0"/>
        <w:jc w:val="left"/>
        <w:rPr>
          <w:sz w:val="4"/>
          <w:szCs w:val="4"/>
        </w:rPr>
      </w:pPr>
      <w:r>
        <w:rPr>
          <w:sz w:val="4"/>
          <w:szCs w:val="4"/>
        </w:rPr>
      </w:r>
      <w:bookmarkStart w:id="232" w:name="zc32310cc65a74b31adcdd5877253e658"/>
      <w:bookmarkStart w:id="233" w:name="zc32310cc65a74b31adcdd5877253e658"/>
      <w:bookmarkEnd w:id="233"/>
    </w:p>
    <w:tbl>
      <w:tblPr>
        <w:tblW w:w="4653" w:type="dxa"/>
        <w:jc w:val="left"/>
        <w:tblInd w:w="0" w:type="dxa"/>
        <w:tblLayout w:type="fixed"/>
        <w:tblCellMar>
          <w:top w:w="0" w:type="dxa"/>
          <w:left w:w="0" w:type="dxa"/>
          <w:bottom w:w="0" w:type="dxa"/>
          <w:right w:w="0" w:type="dxa"/>
        </w:tblCellMar>
      </w:tblPr>
      <w:tblGrid>
        <w:gridCol w:w="38"/>
        <w:gridCol w:w="245"/>
        <w:gridCol w:w="4370"/>
      </w:tblGrid>
      <w:tr>
        <w:trPr/>
        <w:tc>
          <w:tcPr>
            <w:tcW w:w="38" w:type="dxa"/>
            <w:tcBorders/>
            <w:vAlign w:val="center"/>
          </w:tcPr>
          <w:p>
            <w:pPr>
              <w:pStyle w:val="TableContents"/>
              <w:bidi w:val="0"/>
              <w:spacing w:before="0" w:after="283"/>
              <w:jc w:val="left"/>
              <w:rPr/>
            </w:pPr>
            <w:r>
              <w:rPr/>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437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u w:val="single"/>
              </w:rPr>
              <w:t>Mandatory Redemption upon Financing Transaction</w:t>
            </w:r>
            <w:r>
              <w:rPr>
                <w:rFonts w:ascii="Times New Roman;Times;serif" w:hAnsi="Times New Roman;Times;serif"/>
                <w:sz w:val="20"/>
              </w:rPr>
              <w:t>.</w:t>
            </w:r>
          </w:p>
        </w:tc>
      </w:tr>
    </w:tbl>
    <w:p>
      <w:pPr>
        <w:pStyle w:val="TextBody"/>
        <w:bidi w:val="0"/>
        <w:spacing w:lineRule="auto" w:line="300" w:before="0" w:after="0"/>
        <w:jc w:val="left"/>
        <w:rPr>
          <w:color w:val="000000"/>
        </w:rPr>
      </w:pPr>
      <w:r>
        <w:rPr>
          <w:color w:val="000000"/>
        </w:rPr>
        <w:t> </w:t>
      </w:r>
    </w:p>
    <w:p>
      <w:pPr>
        <w:pStyle w:val="Normal"/>
        <w:bidi w:val="0"/>
        <w:spacing w:lineRule="auto" w:line="300" w:before="0" w:after="0"/>
        <w:jc w:val="left"/>
        <w:rPr>
          <w:sz w:val="4"/>
          <w:szCs w:val="4"/>
        </w:rPr>
      </w:pPr>
      <w:r>
        <w:rPr>
          <w:sz w:val="4"/>
          <w:szCs w:val="4"/>
        </w:rPr>
      </w:r>
      <w:bookmarkStart w:id="234" w:name="z982d0a5051c846329a7d0642231b1584"/>
      <w:bookmarkStart w:id="235" w:name="z982d0a5051c846329a7d0642231b1584"/>
      <w:bookmarkEnd w:id="235"/>
    </w:p>
    <w:tbl>
      <w:tblPr>
        <w:tblW w:w="10205" w:type="dxa"/>
        <w:jc w:val="left"/>
        <w:tblInd w:w="0" w:type="dxa"/>
        <w:tblLayout w:type="fixed"/>
        <w:tblCellMar>
          <w:top w:w="0" w:type="dxa"/>
          <w:left w:w="0" w:type="dxa"/>
          <w:bottom w:w="0" w:type="dxa"/>
          <w:right w:w="0" w:type="dxa"/>
        </w:tblCellMar>
      </w:tblPr>
      <w:tblGrid>
        <w:gridCol w:w="38"/>
        <w:gridCol w:w="148"/>
        <w:gridCol w:w="10019"/>
      </w:tblGrid>
      <w:tr>
        <w:trPr/>
        <w:tc>
          <w:tcPr>
            <w:tcW w:w="38" w:type="dxa"/>
            <w:tcBorders/>
            <w:vAlign w:val="center"/>
          </w:tcPr>
          <w:p>
            <w:pPr>
              <w:pStyle w:val="TableContents"/>
              <w:bidi w:val="0"/>
              <w:spacing w:before="0" w:after="283"/>
              <w:jc w:val="left"/>
              <w:rPr/>
            </w:pPr>
            <w:r>
              <w:rPr/>
            </w:r>
          </w:p>
        </w:tc>
        <w:tc>
          <w:tcPr>
            <w:tcW w:w="1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1001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In the event (i) the Company or any of its Subsidiaries conducts an offering of its equity securities, or (ii) any Ordinary Share Equivalents of the Company outstanding as of the Original Issue Date are exercised or converted, as applicable, including, without limitation, any warrant inducement transactions of the Company, in each case, resulting in cash proceeds to the Company in connection therewith (a “</w:t>
            </w:r>
            <w:r>
              <w:rPr>
                <w:rFonts w:ascii="Times New Roman;Times;serif" w:hAnsi="Times New Roman;Times;serif"/>
                <w:sz w:val="20"/>
                <w:u w:val="single"/>
              </w:rPr>
              <w:t>Financing Transaction</w:t>
            </w:r>
            <w:r>
              <w:rPr>
                <w:rFonts w:ascii="Times New Roman;Times;serif" w:hAnsi="Times New Roman;Times;serif"/>
                <w:sz w:val="20"/>
              </w:rPr>
              <w:t>”), the Company shall, within ten (10) Business Days of the receipt of the proceeds of such Financing Transaction, apply 33% of such gross proceeds the (“</w:t>
            </w:r>
            <w:r>
              <w:rPr>
                <w:rFonts w:ascii="Times New Roman;Times;serif" w:hAnsi="Times New Roman;Times;serif"/>
                <w:sz w:val="20"/>
                <w:u w:val="single"/>
              </w:rPr>
              <w:t>Financing Transaction Proceeds Amount</w:t>
            </w:r>
            <w:r>
              <w:rPr>
                <w:rFonts w:ascii="Times New Roman;Times;serif" w:hAnsi="Times New Roman;Times;serif"/>
                <w:sz w:val="20"/>
              </w:rPr>
              <w:t>”) towards the redemption (each, a “</w:t>
            </w:r>
            <w:r>
              <w:rPr>
                <w:rFonts w:ascii="Times New Roman;Times;serif" w:hAnsi="Times New Roman;Times;serif"/>
                <w:sz w:val="20"/>
                <w:u w:val="single"/>
              </w:rPr>
              <w:t>Financing Transaction Mandatory Redemption</w:t>
            </w:r>
            <w:r>
              <w:rPr>
                <w:rFonts w:ascii="Times New Roman;Times;serif" w:hAnsi="Times New Roman;Times;serif"/>
                <w:sz w:val="20"/>
              </w:rPr>
              <w:t>”) of the Notes and the Existing Notes in accordance with the terms of Section 9(b)(ii) below.</w:t>
            </w:r>
          </w:p>
        </w:tc>
      </w:tr>
    </w:tbl>
    <w:p>
      <w:pPr>
        <w:pStyle w:val="TextBody"/>
        <w:bidi w:val="0"/>
        <w:spacing w:lineRule="auto" w:line="300" w:before="0" w:after="0"/>
        <w:jc w:val="left"/>
        <w:rPr>
          <w:color w:val="000000"/>
        </w:rPr>
      </w:pPr>
      <w:r>
        <w:rPr>
          <w:color w:val="000000"/>
        </w:rPr>
        <w:t> </w:t>
      </w:r>
    </w:p>
    <w:p>
      <w:pPr>
        <w:pStyle w:val="Normal"/>
        <w:bidi w:val="0"/>
        <w:spacing w:lineRule="auto" w:line="300" w:before="0" w:after="0"/>
        <w:jc w:val="left"/>
        <w:rPr>
          <w:sz w:val="4"/>
          <w:szCs w:val="4"/>
        </w:rPr>
      </w:pPr>
      <w:r>
        <w:rPr>
          <w:sz w:val="4"/>
          <w:szCs w:val="4"/>
        </w:rPr>
      </w:r>
      <w:bookmarkStart w:id="236" w:name="z88710df49e664ed09acb91eaf9b92783"/>
      <w:bookmarkStart w:id="237" w:name="z88710df49e664ed09acb91eaf9b92783"/>
      <w:bookmarkEnd w:id="237"/>
    </w:p>
    <w:tbl>
      <w:tblPr>
        <w:tblW w:w="10205" w:type="dxa"/>
        <w:jc w:val="left"/>
        <w:tblInd w:w="0" w:type="dxa"/>
        <w:tblLayout w:type="fixed"/>
        <w:tblCellMar>
          <w:top w:w="0" w:type="dxa"/>
          <w:left w:w="0" w:type="dxa"/>
          <w:bottom w:w="0" w:type="dxa"/>
          <w:right w:w="0" w:type="dxa"/>
        </w:tblCellMar>
      </w:tblPr>
      <w:tblGrid>
        <w:gridCol w:w="38"/>
        <w:gridCol w:w="204"/>
        <w:gridCol w:w="9963"/>
      </w:tblGrid>
      <w:tr>
        <w:trPr/>
        <w:tc>
          <w:tcPr>
            <w:tcW w:w="38" w:type="dxa"/>
            <w:tcBorders/>
            <w:vAlign w:val="center"/>
          </w:tcPr>
          <w:p>
            <w:pPr>
              <w:pStyle w:val="TableContents"/>
              <w:bidi w:val="0"/>
              <w:spacing w:before="0" w:after="283"/>
              <w:jc w:val="left"/>
              <w:rPr/>
            </w:pPr>
            <w:r>
              <w:rPr/>
            </w:r>
          </w:p>
        </w:tc>
        <w:tc>
          <w:tcPr>
            <w:tcW w:w="2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996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 xml:space="preserve">Any Financing Transaction Mandatory Redemption payments shall be applied: (i) </w:t>
            </w:r>
            <w:r>
              <w:rPr>
                <w:rFonts w:ascii="Times New Roman;Times;serif" w:hAnsi="Times New Roman;Times;serif"/>
                <w:i/>
                <w:sz w:val="20"/>
              </w:rPr>
              <w:t>first</w:t>
            </w:r>
            <w:r>
              <w:rPr>
                <w:rFonts w:ascii="Times New Roman;Times;serif" w:hAnsi="Times New Roman;Times;serif"/>
                <w:sz w:val="20"/>
              </w:rPr>
              <w:t xml:space="preserve">, against any accrued and unpaid interest due and payable on the Initial Notes and the Existing Initial Notes (allocated pro rata as among the Initial Notes and the Existing Initial Notes and to each holder thereof on a pro rata basis in accordance with the aggregate principal amount of the Initial Notes and the Existing Initial Notes held thereby), (ii) </w:t>
            </w:r>
            <w:r>
              <w:rPr>
                <w:rFonts w:ascii="Times New Roman;Times;serif" w:hAnsi="Times New Roman;Times;serif"/>
                <w:i/>
                <w:sz w:val="20"/>
              </w:rPr>
              <w:t>second</w:t>
            </w:r>
            <w:r>
              <w:rPr>
                <w:rFonts w:ascii="Times New Roman;Times;serif" w:hAnsi="Times New Roman;Times;serif"/>
                <w:sz w:val="20"/>
              </w:rPr>
              <w:t xml:space="preserve"> against any accrued and unpaid interest due and payable on any Additional Notes and any Existing Additional Notes (allocated pro rata as among the Additional Notes and the Existing Additional Notes and to each holder thereof on a pro rata basis in accordance with the aggregate principal amount of the Additional Notes and the Existing Additional Notes held thereby) and (iii) </w:t>
            </w:r>
            <w:r>
              <w:rPr>
                <w:rFonts w:ascii="Times New Roman;Times;serif" w:hAnsi="Times New Roman;Times;serif"/>
                <w:i/>
                <w:sz w:val="20"/>
              </w:rPr>
              <w:t>third</w:t>
            </w:r>
            <w:r>
              <w:rPr>
                <w:rFonts w:ascii="Times New Roman;Times;serif" w:hAnsi="Times New Roman;Times;serif"/>
                <w:sz w:val="20"/>
              </w:rPr>
              <w:t>, at the Company’s sole election, against the outstanding principal amount of this Note, any Additional Notes and the Existing Notes then outstanding (allocated pro rata as among this Note, the Additional Notes and the Existing Notes and to each holder thereof on a pro rata basis in accordance with the aggregate principal amount of this Note, the applicable Additional Notes and the Existing Notes held thereby); provided that, in the case of (iii), (a) the Company shall pay to the Holder a redemption fee equal to 35% of the principal amount of this Note and/or any Existing Initial Notes being redeemed; and (b) the Company shall pay to the Holder a redemption fee equal to 15% of the principal amount of any Additional Notes or Existing Additional Notes being redeemed.</w:t>
            </w:r>
          </w:p>
        </w:tc>
      </w:tr>
    </w:tbl>
    <w:p>
      <w:pPr>
        <w:pStyle w:val="TextBody"/>
        <w:bidi w:val="0"/>
        <w:spacing w:lineRule="auto" w:line="300"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A - 19</w:t>
      </w:r>
    </w:p>
    <w:p>
      <w:pPr>
        <w:pStyle w:val="HorizontalLine"/>
        <w:pBdr>
          <w:bottom w:val="single" w:sz="12" w:space="0" w:color="808080"/>
        </w:pBdr>
        <w:bidi w:val="0"/>
        <w:spacing w:lineRule="auto" w:line="300" w:before="200" w:after="200"/>
        <w:jc w:val="left"/>
        <w:rPr/>
      </w:pPr>
      <w:r>
        <w:rPr/>
      </w:r>
    </w:p>
    <w:p>
      <w:pPr>
        <w:pStyle w:val="Normal"/>
        <w:bidi w:val="0"/>
        <w:spacing w:lineRule="auto" w:line="300" w:before="0" w:after="0"/>
        <w:jc w:val="left"/>
        <w:rPr>
          <w:sz w:val="4"/>
          <w:szCs w:val="4"/>
        </w:rPr>
      </w:pPr>
      <w:r>
        <w:rPr>
          <w:sz w:val="4"/>
          <w:szCs w:val="4"/>
        </w:rPr>
      </w:r>
      <w:bookmarkStart w:id="238" w:name="z5b30aede8fcd460a80ba14535ae3e298"/>
      <w:bookmarkStart w:id="239" w:name="z5b30aede8fcd460a80ba14535ae3e298"/>
      <w:bookmarkEnd w:id="239"/>
    </w:p>
    <w:tbl>
      <w:tblPr>
        <w:tblW w:w="10205" w:type="dxa"/>
        <w:jc w:val="left"/>
        <w:tblInd w:w="0" w:type="dxa"/>
        <w:tblLayout w:type="fixed"/>
        <w:tblCellMar>
          <w:top w:w="0" w:type="dxa"/>
          <w:left w:w="0" w:type="dxa"/>
          <w:bottom w:w="0" w:type="dxa"/>
          <w:right w:w="0" w:type="dxa"/>
        </w:tblCellMar>
      </w:tblPr>
      <w:tblGrid>
        <w:gridCol w:w="38"/>
        <w:gridCol w:w="196"/>
        <w:gridCol w:w="9971"/>
      </w:tblGrid>
      <w:tr>
        <w:trPr/>
        <w:tc>
          <w:tcPr>
            <w:tcW w:w="38" w:type="dxa"/>
            <w:tcBorders/>
            <w:vAlign w:val="center"/>
          </w:tcPr>
          <w:p>
            <w:pPr>
              <w:pStyle w:val="TableContents"/>
              <w:bidi w:val="0"/>
              <w:spacing w:before="0" w:after="283"/>
              <w:jc w:val="left"/>
              <w:rPr/>
            </w:pPr>
            <w:r>
              <w:rPr/>
            </w:r>
          </w:p>
        </w:tc>
        <w:tc>
          <w:tcPr>
            <w:tcW w:w="1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97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u w:val="single"/>
              </w:rPr>
              <w:t>Other Redemptions</w:t>
            </w:r>
            <w:r>
              <w:rPr>
                <w:rFonts w:ascii="Times New Roman;Times;serif" w:hAnsi="Times New Roman;Times;serif"/>
                <w:sz w:val="20"/>
              </w:rPr>
              <w:t>. Other than as described in Section 9(a) and 9(b) hereof, the Company may not redeem or prepay this Note without the prior written consent of the Majority Holders, which consent may be withheld in the Majority Holders’ sole discretion.</w:t>
            </w:r>
          </w:p>
        </w:tc>
      </w:tr>
    </w:tbl>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u w:val="single"/>
        </w:rPr>
        <w:t>Section 10</w:t>
      </w:r>
      <w:r>
        <w:rPr>
          <w:rFonts w:ascii="Times New Roman;Times;serif" w:hAnsi="Times New Roman;Times;serif"/>
          <w:color w:val="000000"/>
          <w:sz w:val="20"/>
        </w:rPr>
        <w:t>.          </w:t>
      </w:r>
      <w:r>
        <w:rPr>
          <w:rFonts w:ascii="Times New Roman;Times;serif" w:hAnsi="Times New Roman;Times;serif"/>
          <w:color w:val="000000"/>
          <w:sz w:val="20"/>
          <w:u w:val="single"/>
        </w:rPr>
        <w:t>Miscellaneous</w:t>
      </w:r>
      <w:r>
        <w:rPr>
          <w:rFonts w:ascii="Times New Roman;Times;serif" w:hAnsi="Times New Roman;Times;serif"/>
          <w:color w:val="000000"/>
          <w:sz w:val="20"/>
        </w:rPr>
        <w:t>.</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540"/>
        <w:jc w:val="both"/>
        <w:rPr>
          <w:rFonts w:ascii="Times New Roman;Times;serif" w:hAnsi="Times New Roman;Times;serif"/>
          <w:color w:val="000000"/>
          <w:sz w:val="20"/>
        </w:rPr>
      </w:pPr>
      <w:r>
        <w:rPr>
          <w:rFonts w:ascii="Times New Roman;Times;serif" w:hAnsi="Times New Roman;Times;serif"/>
          <w:color w:val="000000"/>
          <w:sz w:val="20"/>
        </w:rPr>
        <w:t>(a)          </w:t>
      </w:r>
      <w:r>
        <w:rPr>
          <w:rFonts w:ascii="Times New Roman;Times;serif" w:hAnsi="Times New Roman;Times;serif"/>
          <w:color w:val="000000"/>
          <w:sz w:val="20"/>
          <w:u w:val="single"/>
        </w:rPr>
        <w:t>Notices</w:t>
      </w:r>
      <w:r>
        <w:rPr>
          <w:rFonts w:ascii="Times New Roman;Times;serif" w:hAnsi="Times New Roman;Times;serif"/>
          <w:color w:val="000000"/>
          <w:sz w:val="20"/>
        </w:rPr>
        <w:t>.  Any and all notices or other communications or deliveries to be provided by the Holder hereunder, including, without limitation, any Notice of Conversion, shall be in writing and delivered personally, by email attachment, or sent by a nationally recognized overnight courier service, addressed to the Company, at the address set forth above, or such other email address, or address as the Company may specify for such purposes by notice to the Holder delivered in accordance with this Section 10(a).  Any and all notices or other communications or deliveries to be provided by the Company hereunder shall be in writing and delivered personally, by email attachment, or sent by a nationally recognized overnight courier service addressed to each Holder at the email address or address of the Holder appearing on the books of the Company, or if no such email attachment or address appears on the books of the Company, at the principal place of business of such Holder, as set forth in the Purchase Agreement.  Any notice or other communication or deliveries hereunder shall be deemed given and effective on the earliest of (i) the date of transmission, if such notice or communication is delivered via email attachment to the email address set forth on the signature pages attached hereto prior to 5:30 p.m. (New York City time) on any date, (ii) the next Trading Day after the date of transmission, if such notice or communication is delivered via email attachment to the email address set forth on the signature pages attached hereto on a day that is not a Trading Day or later than 5:30 p.m. (New York City time) on any Trading Day, (iii) the second Trading Day following the date of mailing, if sent by U.S. nationally recognized overnight courier service or (iv) upon actual receipt by the party to whom such notice is required to be given.</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540"/>
        <w:jc w:val="both"/>
        <w:rPr>
          <w:rFonts w:ascii="Times New Roman;Times;serif" w:hAnsi="Times New Roman;Times;serif"/>
          <w:color w:val="000000"/>
          <w:sz w:val="20"/>
        </w:rPr>
      </w:pPr>
      <w:r>
        <w:rPr>
          <w:rFonts w:ascii="Times New Roman;Times;serif" w:hAnsi="Times New Roman;Times;serif"/>
          <w:color w:val="000000"/>
          <w:sz w:val="20"/>
        </w:rPr>
        <w:t>(b)          </w:t>
      </w:r>
      <w:r>
        <w:rPr>
          <w:rFonts w:ascii="Times New Roman;Times;serif" w:hAnsi="Times New Roman;Times;serif"/>
          <w:color w:val="000000"/>
          <w:sz w:val="20"/>
          <w:u w:val="single"/>
        </w:rPr>
        <w:t>Absolute Obligation</w:t>
      </w:r>
      <w:r>
        <w:rPr>
          <w:rFonts w:ascii="Times New Roman;Times;serif" w:hAnsi="Times New Roman;Times;serif"/>
          <w:color w:val="000000"/>
          <w:sz w:val="20"/>
        </w:rPr>
        <w:t xml:space="preserve">. Except as expressly provided herein, no provision of this Note shall alter or impair the obligation of the Company, which is absolute and unconditional, to pay the principal of, liquidated damages and accrued interest, as applicable, on this Note at the time, place, and rate, and in the coin or currency, herein prescribed.  This Note is a direct debt obligation of the Company.  This Note ranks </w:t>
      </w:r>
      <w:r>
        <w:rPr>
          <w:rFonts w:ascii="Times New Roman;Times;serif" w:hAnsi="Times New Roman;Times;serif"/>
          <w:i/>
          <w:color w:val="000000"/>
          <w:sz w:val="20"/>
        </w:rPr>
        <w:t>pari passu</w:t>
      </w:r>
      <w:r>
        <w:rPr>
          <w:rFonts w:ascii="Times New Roman;Times;serif" w:hAnsi="Times New Roman;Times;serif"/>
          <w:color w:val="000000"/>
          <w:sz w:val="20"/>
        </w:rPr>
        <w:t xml:space="preserve"> with all other Notes now or hereafter issued under the terms set forth herein.</w:t>
      </w:r>
    </w:p>
    <w:p>
      <w:pPr>
        <w:pStyle w:val="TextBody"/>
        <w:bidi w:val="0"/>
        <w:spacing w:lineRule="auto" w:line="300"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A - 20</w:t>
      </w:r>
    </w:p>
    <w:p>
      <w:pPr>
        <w:pStyle w:val="HorizontalLine"/>
        <w:pBdr>
          <w:bottom w:val="single" w:sz="12" w:space="0" w:color="808080"/>
        </w:pBdr>
        <w:bidi w:val="0"/>
        <w:spacing w:lineRule="auto" w:line="300" w:before="200" w:after="200"/>
        <w:jc w:val="left"/>
        <w:rPr/>
      </w:pPr>
      <w:r>
        <w:rPr/>
      </w:r>
    </w:p>
    <w:p>
      <w:pPr>
        <w:pStyle w:val="TextBody"/>
        <w:bidi w:val="0"/>
        <w:spacing w:lineRule="auto" w:line="300" w:before="0" w:after="0"/>
        <w:ind w:left="720" w:right="0" w:firstLine="540"/>
        <w:jc w:val="both"/>
        <w:rPr>
          <w:rFonts w:ascii="Times New Roman;Times;serif" w:hAnsi="Times New Roman;Times;serif"/>
          <w:color w:val="000000"/>
          <w:sz w:val="20"/>
        </w:rPr>
      </w:pPr>
      <w:r>
        <w:rPr>
          <w:rFonts w:ascii="Times New Roman;Times;serif" w:hAnsi="Times New Roman;Times;serif"/>
          <w:color w:val="000000"/>
          <w:sz w:val="20"/>
        </w:rPr>
        <w:t>(c)          </w:t>
      </w:r>
      <w:r>
        <w:rPr>
          <w:rFonts w:ascii="Times New Roman;Times;serif" w:hAnsi="Times New Roman;Times;serif"/>
          <w:color w:val="000000"/>
          <w:sz w:val="20"/>
          <w:u w:val="single"/>
        </w:rPr>
        <w:t>Lost or Mutilated Note</w:t>
      </w:r>
      <w:r>
        <w:rPr>
          <w:rFonts w:ascii="Times New Roman;Times;serif" w:hAnsi="Times New Roman;Times;serif"/>
          <w:color w:val="000000"/>
          <w:sz w:val="20"/>
        </w:rPr>
        <w:t>.  If this Note shall be mutilated, lost, stolen or destroyed, the Company shall execute and deliver, in exchange and substitution for and upon cancellation of a mutilated Note, or in lieu of or in substitution for a lost, stolen or destroyed Note, a new Note for the principal amount of this Note so mutilated, lost, stolen or destroyed, but only upon receipt of evidence of such loss, theft or destruction of such Note, and of the ownership hereof, reasonably satisfactory to the Company.</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540"/>
        <w:jc w:val="both"/>
        <w:rPr>
          <w:rFonts w:ascii="Times New Roman;Times;serif" w:hAnsi="Times New Roman;Times;serif"/>
          <w:color w:val="000000"/>
          <w:sz w:val="20"/>
        </w:rPr>
      </w:pPr>
      <w:r>
        <w:rPr>
          <w:rFonts w:ascii="Times New Roman;Times;serif" w:hAnsi="Times New Roman;Times;serif"/>
          <w:color w:val="000000"/>
          <w:sz w:val="20"/>
        </w:rPr>
        <w:t>(d)          </w:t>
      </w:r>
      <w:r>
        <w:rPr>
          <w:rFonts w:ascii="Times New Roman;Times;serif" w:hAnsi="Times New Roman;Times;serif"/>
          <w:color w:val="000000"/>
          <w:sz w:val="20"/>
          <w:u w:val="single"/>
        </w:rPr>
        <w:t>Governing Law</w:t>
      </w:r>
      <w:r>
        <w:rPr>
          <w:rFonts w:ascii="Times New Roman;Times;serif" w:hAnsi="Times New Roman;Times;serif"/>
          <w:color w:val="000000"/>
          <w:sz w:val="20"/>
        </w:rPr>
        <w:t>.  All questions concerning the construction, validity, enforcement and interpretation of this Note shall be governed by and construed and enforced in accordance with the internal laws of the State of New York, without regard to the principles of conflict of laws thereof (other than Title 14 of Article 5 of the New York General Obligations Law).  Each party agrees that all legal proceedings concerning the interpretation, enforcement and defense of the transactions contemplated by any of the Transaction Documents (whether brought against a party hereto or its respective Affiliates, directors, officers, shareholders, employees or agents) shall be commenced in the state and federal courts sitting in the State of New York (the “</w:t>
      </w:r>
      <w:r>
        <w:rPr>
          <w:rFonts w:ascii="Times New Roman;Times;serif" w:hAnsi="Times New Roman;Times;serif"/>
          <w:color w:val="000000"/>
          <w:sz w:val="20"/>
          <w:u w:val="single"/>
        </w:rPr>
        <w:t>New York Courts</w:t>
      </w:r>
      <w:r>
        <w:rPr>
          <w:rFonts w:ascii="Times New Roman;Times;serif" w:hAnsi="Times New Roman;Times;serif"/>
          <w:color w:val="000000"/>
          <w:sz w:val="20"/>
        </w:rPr>
        <w:t>”).  Each party hereto hereby irrevocably submits to the exclusive jurisdiction of the New York Courts for the adjudication of any dispute hereunder or in connection herewith or with any transaction contemplated hereby or discussed herein (including with respect to the enforcement of any of the Transaction Documents), and hereby irrevocably waives, and agrees not to assert in any suit, action or proceeding, any claim that it is not personally subject to the jurisdiction of such New York Courts, or such New York Courts are improper or inconvenient venue for such proceeding.  Each party hereby irrevocably waives personal service of process and consents to process being served in any such suit, action or proceeding by mailing a copy thereof via registered or certified mail or overnight delivery (with evidence of delivery) to such party at the address in effect for notices to it under this Note and agrees that such service shall constitute good and sufficient service of process and notice thereof.  Nothing contained herein shall be deemed to limit in any way any right to serve process in any other manner permitted by applicable law. Each party hereto hereby irrevocably waives, to the fullest extent permitted by applicable law, any and all right to trial by jury in any legal proceeding arising out of or relating to this Note or the transactions contemplated hereby. If any party shall commence an action or proceeding to enforce any provisions of this Note, then the prevailing party in such action or proceeding shall be reimbursed by the other party for its reasonable and documented out-of-pocket attorneys fees and other costs and expenses incurred in the investigation, preparation and prosecution of such action or proceeding.</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540"/>
        <w:jc w:val="both"/>
        <w:rPr>
          <w:rFonts w:ascii="Times New Roman;Times;serif" w:hAnsi="Times New Roman;Times;serif"/>
          <w:color w:val="000000"/>
          <w:sz w:val="20"/>
        </w:rPr>
      </w:pPr>
      <w:r>
        <w:rPr>
          <w:rFonts w:ascii="Times New Roman;Times;serif" w:hAnsi="Times New Roman;Times;serif"/>
          <w:color w:val="000000"/>
          <w:sz w:val="20"/>
        </w:rPr>
        <w:t>(e)          </w:t>
      </w:r>
      <w:r>
        <w:rPr>
          <w:rFonts w:ascii="Times New Roman;Times;serif" w:hAnsi="Times New Roman;Times;serif"/>
          <w:color w:val="000000"/>
          <w:sz w:val="20"/>
          <w:u w:val="single"/>
        </w:rPr>
        <w:t>Waiver</w:t>
      </w:r>
      <w:r>
        <w:rPr>
          <w:rFonts w:ascii="Times New Roman;Times;serif" w:hAnsi="Times New Roman;Times;serif"/>
          <w:color w:val="000000"/>
          <w:sz w:val="20"/>
        </w:rPr>
        <w:t>.  Any waiver by the Company or the Majority Purchasers (as defined in the Purchase Agreement) of a breach of any provision of this Note shall not operate as or be construed to be a waiver of any other breach of such provision or of any breach of any other provision of this Note.  The failure of the Company or the Holder to insist upon strict adherence to any term of this Note on one or more occasions shall not be considered a waiver or deprive that party of the right thereafter to insist upon strict adherence to that term or any other term of this Note on any other occasion.  Any provision of this Note may be waived by the Majority Purchasers, which waiver shall be binding on all of the holders of the Notes and their successors and assigns. Any provision of this Note may be amended by the Company and the Majority Purchasers and must be in writing, which amendment shall be binding on all of the holders of the Notes and their successors and assigns.</w:t>
      </w:r>
    </w:p>
    <w:p>
      <w:pPr>
        <w:pStyle w:val="TextBody"/>
        <w:bidi w:val="0"/>
        <w:spacing w:lineRule="auto" w:line="300"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A - 21</w:t>
      </w:r>
    </w:p>
    <w:p>
      <w:pPr>
        <w:pStyle w:val="HorizontalLine"/>
        <w:pBdr>
          <w:bottom w:val="single" w:sz="12" w:space="0" w:color="808080"/>
        </w:pBdr>
        <w:bidi w:val="0"/>
        <w:spacing w:lineRule="auto" w:line="300" w:before="200" w:after="200"/>
        <w:jc w:val="left"/>
        <w:rPr/>
      </w:pPr>
      <w:r>
        <w:rPr/>
      </w:r>
    </w:p>
    <w:p>
      <w:pPr>
        <w:pStyle w:val="TextBody"/>
        <w:bidi w:val="0"/>
        <w:spacing w:lineRule="auto" w:line="300" w:before="0" w:after="0"/>
        <w:ind w:left="720" w:right="0" w:firstLine="540"/>
        <w:jc w:val="both"/>
        <w:rPr>
          <w:rFonts w:ascii="Times New Roman;Times;serif" w:hAnsi="Times New Roman;Times;serif"/>
          <w:color w:val="000000"/>
          <w:sz w:val="20"/>
        </w:rPr>
      </w:pPr>
      <w:r>
        <w:rPr>
          <w:rFonts w:ascii="Times New Roman;Times;serif" w:hAnsi="Times New Roman;Times;serif"/>
          <w:color w:val="000000"/>
          <w:sz w:val="20"/>
        </w:rPr>
        <w:t>(f)          </w:t>
      </w:r>
      <w:r>
        <w:rPr>
          <w:rFonts w:ascii="Times New Roman;Times;serif" w:hAnsi="Times New Roman;Times;serif"/>
          <w:color w:val="000000"/>
          <w:sz w:val="20"/>
          <w:u w:val="single"/>
        </w:rPr>
        <w:t>Severability</w:t>
      </w:r>
      <w:r>
        <w:rPr>
          <w:rFonts w:ascii="Times New Roman;Times;serif" w:hAnsi="Times New Roman;Times;serif"/>
          <w:color w:val="000000"/>
          <w:sz w:val="20"/>
        </w:rPr>
        <w:t>.  If any provision of this Note is invalid, illegal or unenforceable, the balance of this Note shall remain in effect, and if any provision is inapplicable to any Person or circumstance, it shall nevertheless remain applicable to all other Persons and circumstances.  If it shall be found that any interest or other amount deemed interest due hereunder violates the applicable law governing usury, the applicable rate of interest due hereunder shall automatically be lowered to equal the maximum rate of interest permitted under applicable law. The Company covenants (to the extent that it may lawfully do so) that it shall not at any time insist upon, plead, or in any manner whatsoever claim or take the benefit or advantage of, any stay, extension or usury law or other law which would prohibit or forgive the Company from paying all or any portion of the principal of or interest on this Note as contemplated herein, wherever enacted, now or at any time hereafter in force, or which may affect the covenants or the performance of this Note, and the Company (to the extent it may lawfully do so) hereby expressly waives all benefits or advantage of any such law, and covenants that it will not, by resort to any such law, hinder, delay or impede the execution of any power herein granted to the Holder, but will suffer and permit the execution of every such as though no such law has been enacted.</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540"/>
        <w:jc w:val="both"/>
        <w:rPr>
          <w:rFonts w:ascii="Times New Roman;Times;serif" w:hAnsi="Times New Roman;Times;serif"/>
          <w:color w:val="000000"/>
          <w:sz w:val="20"/>
        </w:rPr>
      </w:pPr>
      <w:r>
        <w:rPr>
          <w:rFonts w:ascii="Times New Roman;Times;serif" w:hAnsi="Times New Roman;Times;serif"/>
          <w:color w:val="000000"/>
          <w:sz w:val="20"/>
        </w:rPr>
        <w:t>(g)          </w:t>
      </w:r>
      <w:r>
        <w:rPr>
          <w:rFonts w:ascii="Times New Roman;Times;serif" w:hAnsi="Times New Roman;Times;serif"/>
          <w:color w:val="000000"/>
          <w:sz w:val="20"/>
          <w:u w:val="single"/>
        </w:rPr>
        <w:t>Remedies, Characterizations, Other Obligations, Breaches and Injunctive Relief</w:t>
      </w:r>
      <w:r>
        <w:rPr>
          <w:rFonts w:ascii="Times New Roman;Times;serif" w:hAnsi="Times New Roman;Times;serif"/>
          <w:color w:val="000000"/>
          <w:sz w:val="20"/>
        </w:rPr>
        <w:t>.  The remedies provided in this Note shall be cumulative and in addition to all other remedies available under this Note and any of the other Transaction Documents at law or in equity (including a decree of specific performance and/or other injunctive relief), and nothing herein shall limit the Holder’s right to pursue actual and consequential damages for any failure by the Company to comply with the terms of this Note. The Company covenants to the Holder that there shall be no characterization concerning this instrument other than as expressly provided herein. Amounts set forth or provided for herein with respect to payments, conversion and the like (and the computation thereof) shall be the amounts to be received by the Holder and shall not, except as expressly provided herein, be subject to any other obligation of the Company (or the performance thereof). The Company acknowledges that a breach by it of its obligations hereunder will cause irreparable harm to the Holder and that the remedy at law for any such breach may be inadequate. The Company therefore agrees that, in the event of any such breach or threatened breach, the Holder shall be entitled, in addition to all other available remedies, to an injunction restraining any such breach or any such threatened breach, without the necessity of showing economic loss and without any bond or other security being required. The Company shall provide all information and documentation to the Holder that is requested by the Holder to enable the Holder to confirm the Company’s compliance with the terms and conditions of this Note.</w:t>
      </w:r>
    </w:p>
    <w:p>
      <w:pPr>
        <w:pStyle w:val="TextBody"/>
        <w:bidi w:val="0"/>
        <w:spacing w:lineRule="auto" w:line="300"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A - 22</w:t>
      </w:r>
    </w:p>
    <w:p>
      <w:pPr>
        <w:pStyle w:val="HorizontalLine"/>
        <w:pBdr>
          <w:bottom w:val="single" w:sz="12" w:space="0" w:color="808080"/>
        </w:pBdr>
        <w:bidi w:val="0"/>
        <w:spacing w:lineRule="auto" w:line="300" w:before="200" w:after="200"/>
        <w:jc w:val="left"/>
        <w:rPr/>
      </w:pPr>
      <w:r>
        <w:rPr/>
      </w:r>
    </w:p>
    <w:p>
      <w:pPr>
        <w:pStyle w:val="TextBody"/>
        <w:bidi w:val="0"/>
        <w:spacing w:lineRule="auto" w:line="300" w:before="0" w:after="0"/>
        <w:ind w:left="720" w:right="0" w:firstLine="540"/>
        <w:jc w:val="both"/>
        <w:rPr>
          <w:rFonts w:ascii="Times New Roman;Times;serif" w:hAnsi="Times New Roman;Times;serif"/>
          <w:color w:val="000000"/>
          <w:sz w:val="20"/>
        </w:rPr>
      </w:pPr>
      <w:r>
        <w:rPr>
          <w:rFonts w:ascii="Times New Roman;Times;serif" w:hAnsi="Times New Roman;Times;serif"/>
          <w:color w:val="000000"/>
          <w:sz w:val="20"/>
        </w:rPr>
        <w:t>(h)          </w:t>
      </w:r>
      <w:r>
        <w:rPr>
          <w:rFonts w:ascii="Times New Roman;Times;serif" w:hAnsi="Times New Roman;Times;serif"/>
          <w:color w:val="000000"/>
          <w:sz w:val="20"/>
          <w:u w:val="single"/>
        </w:rPr>
        <w:t>Next Business Day</w:t>
      </w:r>
      <w:r>
        <w:rPr>
          <w:rFonts w:ascii="Times New Roman;Times;serif" w:hAnsi="Times New Roman;Times;serif"/>
          <w:color w:val="000000"/>
          <w:sz w:val="20"/>
        </w:rPr>
        <w:t>.  Whenever any payment or other obligation hereunder shall be due on a day other than a Business Day, such payment shall be made on the next succeeding Business Day.</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540"/>
        <w:jc w:val="both"/>
        <w:rPr>
          <w:rFonts w:ascii="Times New Roman;Times;serif" w:hAnsi="Times New Roman;Times;serif"/>
          <w:color w:val="000000"/>
          <w:sz w:val="20"/>
        </w:rPr>
      </w:pPr>
      <w:r>
        <w:rPr>
          <w:rFonts w:ascii="Times New Roman;Times;serif" w:hAnsi="Times New Roman;Times;serif"/>
          <w:color w:val="000000"/>
          <w:sz w:val="20"/>
        </w:rPr>
        <w:t>(i)          </w:t>
      </w:r>
      <w:r>
        <w:rPr>
          <w:rFonts w:ascii="Times New Roman;Times;serif" w:hAnsi="Times New Roman;Times;serif"/>
          <w:color w:val="000000"/>
          <w:sz w:val="20"/>
          <w:u w:val="single"/>
        </w:rPr>
        <w:t>Headings</w:t>
      </w:r>
      <w:r>
        <w:rPr>
          <w:rFonts w:ascii="Times New Roman;Times;serif" w:hAnsi="Times New Roman;Times;serif"/>
          <w:color w:val="000000"/>
          <w:sz w:val="20"/>
        </w:rPr>
        <w:t>.  The headings contained herein are for convenience only, do not constitute a part of this Note and shall not be deemed to limit or affect any of the provisions hereof.</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u w:val="single"/>
        </w:rPr>
        <w:t>Section 11</w:t>
      </w:r>
      <w:r>
        <w:rPr>
          <w:rFonts w:ascii="Times New Roman;Times;serif" w:hAnsi="Times New Roman;Times;serif"/>
          <w:color w:val="000000"/>
          <w:sz w:val="20"/>
        </w:rPr>
        <w:t xml:space="preserve">.   </w:t>
      </w:r>
      <w:r>
        <w:rPr>
          <w:rFonts w:ascii="Times New Roman;Times;serif" w:hAnsi="Times New Roman;Times;serif"/>
          <w:color w:val="000000"/>
          <w:sz w:val="20"/>
          <w:u w:val="single"/>
        </w:rPr>
        <w:t>Secured Obligation</w:t>
      </w:r>
      <w:r>
        <w:rPr>
          <w:rFonts w:ascii="Times New Roman;Times;serif" w:hAnsi="Times New Roman;Times;serif"/>
          <w:color w:val="000000"/>
          <w:sz w:val="20"/>
        </w:rPr>
        <w:t>.  The obligations of the Company under this Note are secured by the Collateral.</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u w:val="single"/>
        </w:rPr>
        <w:t>Section 12</w:t>
      </w:r>
      <w:r>
        <w:rPr>
          <w:rFonts w:ascii="Times New Roman;Times;serif" w:hAnsi="Times New Roman;Times;serif"/>
          <w:color w:val="000000"/>
          <w:sz w:val="20"/>
        </w:rPr>
        <w:t xml:space="preserve">.   </w:t>
      </w:r>
      <w:r>
        <w:rPr>
          <w:rFonts w:ascii="Times New Roman;Times;serif" w:hAnsi="Times New Roman;Times;serif"/>
          <w:color w:val="000000"/>
          <w:sz w:val="20"/>
          <w:u w:val="single"/>
        </w:rPr>
        <w:t>Disclosure</w:t>
      </w:r>
      <w:r>
        <w:rPr>
          <w:rFonts w:ascii="Times New Roman;Times;serif" w:hAnsi="Times New Roman;Times;serif"/>
          <w:color w:val="000000"/>
          <w:sz w:val="20"/>
        </w:rPr>
        <w:t>.  Upon receipt or delivery by the Company of any notice in accordance with the terms of this Note, in the event that the Company believes that such notice contains material, non-public information relating to the Company or its Subsidiaries, the Company shall so indicate in such notice that it contains material, non-public information relating to the Company or its Subsidiaries and, simultaneously with the delivery of such notice to the Holder, the Company shall publicly disclose the contents of such notice in a Current Report on Form 8-K filed with the Commission.  If the Company does not indicate to the Holder with delivery of such notice that it contains material, non-public information relating to the Company or its Subsidiaries, the Holder shall be allowed to presume that all matters set forth in such notice do not constitute material, nonpublic information relating to the Company or its Subsidiaries.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center"/>
        <w:rPr>
          <w:rFonts w:ascii="Times New Roman;Times;serif" w:hAnsi="Times New Roman;Times;serif"/>
          <w:color w:val="000000"/>
          <w:sz w:val="20"/>
        </w:rPr>
      </w:pPr>
      <w:r>
        <w:rPr>
          <w:rFonts w:ascii="Times New Roman;Times;serif" w:hAnsi="Times New Roman;Times;serif"/>
          <w:color w:val="000000"/>
          <w:sz w:val="20"/>
        </w:rPr>
        <w:t>*********************</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center"/>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i/>
          <w:color w:val="000000"/>
          <w:sz w:val="20"/>
        </w:rPr>
        <w:t>Signature Page Follows</w:t>
      </w:r>
      <w:r>
        <w:rPr>
          <w:rFonts w:ascii="Times New Roman;Times;serif" w:hAnsi="Times New Roman;Times;serif"/>
          <w:color w:val="000000"/>
          <w:sz w:val="20"/>
        </w:rPr>
        <w:t>)</w:t>
      </w:r>
    </w:p>
    <w:p>
      <w:pPr>
        <w:pStyle w:val="TextBody"/>
        <w:bidi w:val="0"/>
        <w:spacing w:lineRule="auto" w:line="300"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A - 23</w:t>
      </w:r>
    </w:p>
    <w:p>
      <w:pPr>
        <w:pStyle w:val="HorizontalLine"/>
        <w:pBdr>
          <w:bottom w:val="single" w:sz="12" w:space="0" w:color="808080"/>
        </w:pBdr>
        <w:bidi w:val="0"/>
        <w:spacing w:lineRule="auto" w:line="300" w:before="200" w:after="200"/>
        <w:jc w:val="left"/>
        <w:rPr/>
      </w:pPr>
      <w:r>
        <w:rPr/>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IN WITNESS WHEREOF, the Company has caused this Note to be duly executed by a duly authorized officer as of the date first above indicated.</w:t>
      </w:r>
    </w:p>
    <w:p>
      <w:pPr>
        <w:pStyle w:val="TextBody"/>
        <w:bidi w:val="0"/>
        <w:spacing w:lineRule="auto" w:line="300" w:before="0" w:after="0"/>
        <w:jc w:val="left"/>
        <w:rPr/>
      </w:pPr>
      <w:r>
        <w:rPr/>
      </w:r>
    </w:p>
    <w:p>
      <w:pPr>
        <w:pStyle w:val="Normal"/>
        <w:bidi w:val="0"/>
        <w:spacing w:lineRule="auto" w:line="300" w:before="0" w:after="0"/>
        <w:jc w:val="left"/>
        <w:rPr>
          <w:sz w:val="4"/>
          <w:szCs w:val="4"/>
        </w:rPr>
      </w:pPr>
      <w:r>
        <w:rPr>
          <w:sz w:val="4"/>
          <w:szCs w:val="4"/>
        </w:rPr>
      </w:r>
      <w:bookmarkStart w:id="240" w:name="zeb3aaad699604fffb408861a53a48c97"/>
      <w:bookmarkStart w:id="241" w:name="zeb3aaad699604fffb408861a53a48c97"/>
      <w:bookmarkEnd w:id="241"/>
    </w:p>
    <w:tbl>
      <w:tblPr>
        <w:tblW w:w="4790" w:type="dxa"/>
        <w:jc w:val="left"/>
        <w:tblInd w:w="0" w:type="dxa"/>
        <w:tblLayout w:type="fixed"/>
        <w:tblCellMar>
          <w:top w:w="0" w:type="dxa"/>
          <w:left w:w="0" w:type="dxa"/>
          <w:bottom w:w="0" w:type="dxa"/>
          <w:right w:w="0" w:type="dxa"/>
        </w:tblCellMar>
      </w:tblPr>
      <w:tblGrid>
        <w:gridCol w:w="60"/>
        <w:gridCol w:w="4730"/>
      </w:tblGrid>
      <w:tr>
        <w:trPr/>
        <w:tc>
          <w:tcPr>
            <w:tcW w:w="60" w:type="dxa"/>
            <w:tcBorders/>
            <w:vAlign w:val="center"/>
          </w:tcPr>
          <w:p>
            <w:pPr>
              <w:pStyle w:val="TableContents"/>
              <w:bidi w:val="0"/>
              <w:spacing w:before="0" w:after="283"/>
              <w:jc w:val="left"/>
              <w:rPr/>
            </w:pPr>
            <w:r>
              <w:rPr/>
              <w:t> </w:t>
            </w:r>
          </w:p>
        </w:tc>
        <w:tc>
          <w:tcPr>
            <w:tcW w:w="4730" w:type="dxa"/>
            <w:tcBorders/>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LIFEWARD LTD.</w:t>
            </w:r>
          </w:p>
        </w:tc>
      </w:tr>
      <w:tr>
        <w:trPr/>
        <w:tc>
          <w:tcPr>
            <w:tcW w:w="60" w:type="dxa"/>
            <w:tcBorders/>
            <w:vAlign w:val="center"/>
          </w:tcPr>
          <w:p>
            <w:pPr>
              <w:pStyle w:val="TableContents"/>
              <w:bidi w:val="0"/>
              <w:spacing w:before="0" w:after="283"/>
              <w:jc w:val="left"/>
              <w:rPr/>
            </w:pPr>
            <w:r>
              <w:rPr/>
              <w:t> </w:t>
            </w:r>
          </w:p>
        </w:tc>
        <w:tc>
          <w:tcPr>
            <w:tcW w:w="473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473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By:__________________________________________</w:t>
            </w:r>
          </w:p>
          <w:p>
            <w:pPr>
              <w:pStyle w:val="TableContents"/>
              <w:bidi w:val="0"/>
              <w:spacing w:lineRule="auto" w:line="300" w:before="0" w:after="0"/>
              <w:ind w:left="360" w:right="0" w:hanging="0"/>
              <w:jc w:val="left"/>
              <w:rPr>
                <w:rFonts w:ascii="Times New Roman;Times;serif" w:hAnsi="Times New Roman;Times;serif"/>
                <w:sz w:val="20"/>
              </w:rPr>
            </w:pPr>
            <w:r>
              <w:rPr>
                <w:rFonts w:ascii="Times New Roman;Times;serif" w:hAnsi="Times New Roman;Times;serif"/>
                <w:sz w:val="20"/>
              </w:rPr>
              <w:t>Name: William Mark Grant</w:t>
            </w:r>
          </w:p>
          <w:p>
            <w:pPr>
              <w:pStyle w:val="TableContents"/>
              <w:bidi w:val="0"/>
              <w:spacing w:lineRule="auto" w:line="300" w:before="0" w:after="0"/>
              <w:ind w:left="360" w:right="0" w:hanging="0"/>
              <w:jc w:val="left"/>
              <w:rPr>
                <w:rFonts w:ascii="Times New Roman;Times;serif" w:hAnsi="Times New Roman;Times;serif"/>
                <w:sz w:val="20"/>
              </w:rPr>
            </w:pPr>
            <w:r>
              <w:rPr>
                <w:rFonts w:ascii="Times New Roman;Times;serif" w:hAnsi="Times New Roman;Times;serif"/>
                <w:sz w:val="20"/>
              </w:rPr>
              <w:t>Title: President and Chief Executive Officer</w:t>
            </w:r>
          </w:p>
        </w:tc>
      </w:tr>
    </w:tbl>
    <w:p>
      <w:pPr>
        <w:pStyle w:val="TextBody"/>
        <w:bidi w:val="0"/>
        <w:spacing w:lineRule="auto" w:line="300" w:before="0" w:after="0"/>
        <w:jc w:val="left"/>
        <w:rPr/>
      </w:pPr>
      <w:r>
        <w:rPr/>
      </w:r>
    </w:p>
    <w:p>
      <w:pPr>
        <w:pStyle w:val="HorizontalLine"/>
        <w:pBdr>
          <w:bottom w:val="single" w:sz="12" w:space="0" w:color="808080"/>
        </w:pBdr>
        <w:bidi w:val="0"/>
        <w:spacing w:lineRule="auto" w:line="300" w:before="200" w:after="200"/>
        <w:jc w:val="left"/>
        <w:rPr/>
      </w:pPr>
      <w:r>
        <w:rPr/>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ANNEX A</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NOTICE OF CONVERSION</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Reference is made to the Senior Secured Convertible Note (the “</w:t>
      </w:r>
      <w:r>
        <w:rPr>
          <w:rFonts w:ascii="Times New Roman;Times;serif" w:hAnsi="Times New Roman;Times;serif"/>
          <w:color w:val="000000"/>
          <w:sz w:val="20"/>
          <w:u w:val="single"/>
        </w:rPr>
        <w:t>Note</w:t>
      </w:r>
      <w:r>
        <w:rPr>
          <w:rFonts w:ascii="Times New Roman;Times;serif" w:hAnsi="Times New Roman;Times;serif"/>
          <w:color w:val="000000"/>
          <w:sz w:val="20"/>
        </w:rPr>
        <w:t>”) of Lifeward Ltd., an Israeli company (the “</w:t>
      </w:r>
      <w:r>
        <w:rPr>
          <w:rFonts w:ascii="Times New Roman;Times;serif" w:hAnsi="Times New Roman;Times;serif"/>
          <w:color w:val="000000"/>
          <w:sz w:val="20"/>
          <w:u w:val="single"/>
        </w:rPr>
        <w:t>Company</w:t>
      </w:r>
      <w:r>
        <w:rPr>
          <w:rFonts w:ascii="Times New Roman;Times;serif" w:hAnsi="Times New Roman;Times;serif"/>
          <w:color w:val="000000"/>
          <w:sz w:val="20"/>
        </w:rPr>
        <w:t>”).</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The undersigned hereby elects to convert principal under the Note (</w:t>
      </w:r>
      <w:r>
        <w:rPr>
          <w:rFonts w:ascii="Times New Roman;Times;serif" w:hAnsi="Times New Roman;Times;serif"/>
          <w:i/>
          <w:color w:val="000000"/>
          <w:sz w:val="20"/>
        </w:rPr>
        <w:t>plus</w:t>
      </w:r>
      <w:r>
        <w:rPr>
          <w:rFonts w:ascii="Times New Roman;Times;serif" w:hAnsi="Times New Roman;Times;serif"/>
          <w:color w:val="000000"/>
          <w:sz w:val="20"/>
        </w:rPr>
        <w:t>, the accrued and unpaid interest thereon) into ordinary shares of the Company (the “</w:t>
      </w:r>
      <w:r>
        <w:rPr>
          <w:rFonts w:ascii="Times New Roman;Times;serif" w:hAnsi="Times New Roman;Times;serif"/>
          <w:color w:val="000000"/>
          <w:sz w:val="20"/>
          <w:u w:val="single"/>
        </w:rPr>
        <w:t>Ordinary Shares</w:t>
      </w:r>
      <w:r>
        <w:rPr>
          <w:rFonts w:ascii="Times New Roman;Times;serif" w:hAnsi="Times New Roman;Times;serif"/>
          <w:color w:val="000000"/>
          <w:sz w:val="20"/>
        </w:rPr>
        <w:t>”) according to the conditions hereof, as of the date written below.  If Ordinary Shares are to be issued in the name of a person other than the undersigned, the undersigned will pay all issue, stamp, transfer and similar taxes payable with respect thereto and is delivering herewith such certificates and opinions as reasonably requested by the Company in accordance therewith.  No fee will be charged to the holder for any conversion, except for such issue, stamp, transfer and similar taxes, if any.</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By the delivery of this Notice of Conversion the undersigned represents and warrants to the Company that its ownership of the Ordinary Shares does not exceed the amounts specified under Section 4 of this Note, as determined in accordance with Section 13(d) of the Exchange Act.</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The undersigned agrees to comply with the prospectus delivery requirements under the applicable securities laws in connection with any transfer of the aforesaid Ordinary Shares.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Conversion calculations:</w:t>
      </w:r>
    </w:p>
    <w:p>
      <w:pPr>
        <w:pStyle w:val="TextBody"/>
        <w:bidi w:val="0"/>
        <w:spacing w:lineRule="auto" w:line="300" w:before="0" w:after="0"/>
        <w:jc w:val="left"/>
        <w:rPr>
          <w:color w:val="000000"/>
        </w:rPr>
      </w:pPr>
      <w:r>
        <w:rPr>
          <w:color w:val="000000"/>
        </w:rPr>
        <w:t> </w:t>
      </w:r>
    </w:p>
    <w:p>
      <w:pPr>
        <w:pStyle w:val="Normal"/>
        <w:bidi w:val="0"/>
        <w:spacing w:lineRule="auto" w:line="300" w:before="0" w:after="0"/>
        <w:jc w:val="left"/>
        <w:rPr>
          <w:sz w:val="4"/>
          <w:szCs w:val="4"/>
        </w:rPr>
      </w:pPr>
      <w:r>
        <w:rPr>
          <w:sz w:val="4"/>
          <w:szCs w:val="4"/>
        </w:rPr>
      </w:r>
      <w:bookmarkStart w:id="242" w:name="zacf3087cd5744fe8a5108cd29f364570"/>
      <w:bookmarkStart w:id="243" w:name="zacf3087cd5744fe8a5108cd29f364570"/>
      <w:bookmarkEnd w:id="243"/>
    </w:p>
    <w:tbl>
      <w:tblPr>
        <w:tblW w:w="4250" w:type="dxa"/>
        <w:jc w:val="left"/>
        <w:tblInd w:w="0" w:type="dxa"/>
        <w:tblLayout w:type="fixed"/>
        <w:tblCellMar>
          <w:top w:w="0" w:type="dxa"/>
          <w:left w:w="0" w:type="dxa"/>
          <w:bottom w:w="0" w:type="dxa"/>
          <w:right w:w="0" w:type="dxa"/>
        </w:tblCellMar>
      </w:tblPr>
      <w:tblGrid>
        <w:gridCol w:w="60"/>
        <w:gridCol w:w="4190"/>
      </w:tblGrid>
      <w:tr>
        <w:trPr/>
        <w:tc>
          <w:tcPr>
            <w:tcW w:w="60" w:type="dxa"/>
            <w:tcBorders/>
            <w:vAlign w:val="center"/>
          </w:tcPr>
          <w:p>
            <w:pPr>
              <w:pStyle w:val="TableContents"/>
              <w:bidi w:val="0"/>
              <w:spacing w:before="0" w:after="0"/>
              <w:jc w:val="left"/>
              <w:rPr/>
            </w:pPr>
            <w:r>
              <w:rPr/>
              <w:t> </w:t>
            </w:r>
          </w:p>
        </w:tc>
        <w:tc>
          <w:tcPr>
            <w:tcW w:w="4190"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Date to Effect Conversion:</w:t>
            </w:r>
          </w:p>
          <w:p>
            <w:pPr>
              <w:pStyle w:val="TableContents"/>
              <w:bidi w:val="0"/>
              <w:spacing w:lineRule="auto" w:line="300" w:before="0" w:after="0"/>
              <w:jc w:val="left"/>
              <w:rPr/>
            </w:pPr>
            <w:r>
              <w:rPr/>
            </w:r>
          </w:p>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Principal Amount of Note to be Converted:</w:t>
            </w:r>
          </w:p>
          <w:p>
            <w:pPr>
              <w:pStyle w:val="TableContents"/>
              <w:bidi w:val="0"/>
              <w:spacing w:lineRule="auto" w:line="300" w:before="0" w:after="0"/>
              <w:jc w:val="left"/>
              <w:rPr/>
            </w:pPr>
            <w:r>
              <w:rPr/>
            </w:r>
          </w:p>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Accrued and Unpaid Interest to be Converted:</w:t>
            </w:r>
          </w:p>
          <w:p>
            <w:pPr>
              <w:pStyle w:val="TableContents"/>
              <w:bidi w:val="0"/>
              <w:spacing w:lineRule="auto" w:line="300" w:before="0" w:after="0"/>
              <w:jc w:val="left"/>
              <w:rPr/>
            </w:pPr>
            <w:r>
              <w:rPr/>
            </w:r>
          </w:p>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Number  of Ordinary Shares to be issued:</w:t>
            </w:r>
          </w:p>
          <w:p>
            <w:pPr>
              <w:pStyle w:val="TableContents"/>
              <w:bidi w:val="0"/>
              <w:spacing w:lineRule="auto" w:line="300" w:before="0" w:after="0"/>
              <w:jc w:val="left"/>
              <w:rPr/>
            </w:pPr>
            <w:r>
              <w:rPr/>
            </w:r>
          </w:p>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Signature:</w:t>
            </w:r>
          </w:p>
          <w:p>
            <w:pPr>
              <w:pStyle w:val="TableContents"/>
              <w:bidi w:val="0"/>
              <w:spacing w:lineRule="auto" w:line="300" w:before="0" w:after="0"/>
              <w:jc w:val="left"/>
              <w:rPr/>
            </w:pPr>
            <w:r>
              <w:rPr/>
            </w:r>
          </w:p>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Name:</w:t>
            </w:r>
          </w:p>
          <w:p>
            <w:pPr>
              <w:pStyle w:val="TableContents"/>
              <w:bidi w:val="0"/>
              <w:spacing w:lineRule="auto" w:line="300" w:before="0" w:after="0"/>
              <w:jc w:val="left"/>
              <w:rPr/>
            </w:pPr>
            <w:r>
              <w:rPr/>
            </w:r>
          </w:p>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Address for Delivery of Ordinary Share Certificates:</w:t>
            </w:r>
          </w:p>
          <w:p>
            <w:pPr>
              <w:pStyle w:val="TableContents"/>
              <w:bidi w:val="0"/>
              <w:spacing w:lineRule="auto" w:line="300" w:before="0" w:after="0"/>
              <w:jc w:val="left"/>
              <w:rPr/>
            </w:pPr>
            <w:r>
              <w:rPr/>
            </w:r>
          </w:p>
          <w:p>
            <w:pPr>
              <w:pStyle w:val="TableContents"/>
              <w:bidi w:val="0"/>
              <w:spacing w:lineRule="auto" w:line="300" w:before="0" w:after="0"/>
              <w:jc w:val="both"/>
              <w:rPr>
                <w:rFonts w:ascii="Times New Roman;Times;serif" w:hAnsi="Times New Roman;Times;serif"/>
                <w:sz w:val="20"/>
                <w:u w:val="single"/>
              </w:rPr>
            </w:pPr>
            <w:r>
              <w:rPr>
                <w:rFonts w:ascii="Times New Roman;Times;serif" w:hAnsi="Times New Roman;Times;serif"/>
                <w:sz w:val="20"/>
                <w:u w:val="single"/>
              </w:rPr>
              <w:t>Or</w:t>
            </w:r>
          </w:p>
          <w:p>
            <w:pPr>
              <w:pStyle w:val="TableContents"/>
              <w:bidi w:val="0"/>
              <w:spacing w:lineRule="auto" w:line="300" w:before="0" w:after="0"/>
              <w:jc w:val="left"/>
              <w:rPr/>
            </w:pPr>
            <w:r>
              <w:rPr/>
            </w:r>
          </w:p>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DWAC Instructions:</w:t>
            </w:r>
          </w:p>
        </w:tc>
      </w:tr>
    </w:tbl>
    <w:p>
      <w:pPr>
        <w:pStyle w:val="TextBody"/>
        <w:bidi w:val="0"/>
        <w:spacing w:lineRule="auto" w:line="300" w:before="0" w:after="0"/>
        <w:jc w:val="left"/>
        <w:rPr/>
      </w:pPr>
      <w:r>
        <w:rPr/>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DTC Participant Number: </w:t>
      </w:r>
      <w:r>
        <w:rPr>
          <w:rFonts w:ascii="Times New Roman;Times;serif" w:hAnsi="Times New Roman;Times;serif"/>
          <w:color w:val="000000"/>
          <w:sz w:val="20"/>
          <w:u w:val="single"/>
        </w:rPr>
        <w:t xml:space="preserve">                                       </w:t>
      </w:r>
    </w:p>
    <w:p>
      <w:pPr>
        <w:pStyle w:val="TextBody"/>
        <w:bidi w:val="0"/>
        <w:spacing w:lineRule="auto" w:line="300" w:before="0" w:after="0"/>
        <w:jc w:val="left"/>
        <w:rPr/>
      </w:pPr>
      <w:r>
        <w:rPr/>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DTC Participant Name: </w:t>
      </w:r>
      <w:r>
        <w:rPr>
          <w:rFonts w:ascii="Times New Roman;Times;serif" w:hAnsi="Times New Roman;Times;serif"/>
          <w:color w:val="000000"/>
          <w:sz w:val="20"/>
          <w:u w:val="single"/>
        </w:rPr>
        <w:t xml:space="preserve">                                        </w:t>
      </w:r>
    </w:p>
    <w:p>
      <w:pPr>
        <w:pStyle w:val="TextBody"/>
        <w:bidi w:val="0"/>
        <w:spacing w:lineRule="auto" w:line="300" w:before="0" w:after="0"/>
        <w:jc w:val="left"/>
        <w:rPr/>
      </w:pPr>
      <w:r>
        <w:rPr/>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Account Number: </w:t>
      </w:r>
      <w:r>
        <w:rPr>
          <w:rFonts w:ascii="Times New Roman;Times;serif" w:hAnsi="Times New Roman;Times;serif"/>
          <w:color w:val="000000"/>
          <w:sz w:val="20"/>
          <w:u w:val="single"/>
        </w:rPr>
        <w:t xml:space="preserve">                                      </w:t>
      </w:r>
    </w:p>
    <w:p>
      <w:pPr>
        <w:pStyle w:val="TextBody"/>
        <w:bidi w:val="0"/>
        <w:spacing w:lineRule="auto" w:line="300" w:before="0" w:after="0"/>
        <w:jc w:val="left"/>
        <w:rPr/>
      </w:pPr>
      <w:r>
        <w:rPr/>
      </w:r>
    </w:p>
    <w:p>
      <w:pPr>
        <w:pStyle w:val="HorizontalLine"/>
        <w:pBdr>
          <w:bottom w:val="single" w:sz="12" w:space="0" w:color="808080"/>
        </w:pBdr>
        <w:bidi w:val="0"/>
        <w:spacing w:before="200" w:after="200"/>
        <w:jc w:val="left"/>
        <w:rPr/>
      </w:pPr>
      <w:r>
        <w:rPr/>
      </w:r>
    </w:p>
    <w:p>
      <w:pPr>
        <w:pStyle w:val="TextBody"/>
        <w:bidi w:val="0"/>
        <w:spacing w:lineRule="auto" w:line="300" w:before="0" w:after="0"/>
        <w:jc w:val="center"/>
        <w:rPr>
          <w:rFonts w:ascii="Times New Roman;Times;serif" w:hAnsi="Times New Roman;Times;serif"/>
          <w:b/>
          <w:color w:val="000000"/>
          <w:sz w:val="20"/>
          <w:u w:val="single"/>
        </w:rPr>
      </w:pPr>
      <w:r>
        <w:rPr>
          <w:rFonts w:ascii="Times New Roman;Times;serif" w:hAnsi="Times New Roman;Times;serif"/>
          <w:b/>
          <w:color w:val="000000"/>
          <w:sz w:val="20"/>
          <w:u w:val="single"/>
        </w:rPr>
        <w:t>EXHIBIT B</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Form of Additional Note</w:t>
      </w:r>
    </w:p>
    <w:p>
      <w:pPr>
        <w:pStyle w:val="TextBody"/>
        <w:bidi w:val="0"/>
        <w:spacing w:lineRule="auto" w:line="300" w:before="0" w:after="0"/>
        <w:jc w:val="left"/>
        <w:rPr>
          <w:color w:val="000000"/>
        </w:rPr>
      </w:pPr>
      <w:r>
        <w:rPr>
          <w:color w:val="000000"/>
        </w:rPr>
        <w:t xml:space="preserve">  </w:t>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b/>
          <w:color w:val="000000"/>
          <w:sz w:val="20"/>
        </w:rPr>
        <w:t>THE SECURITIES REFERENCED HEREIN HAVE NOT BEEN REGISTERED UNDER THE SECURITIES ACT OF 1933</w:t>
      </w:r>
      <w:r>
        <w:rPr>
          <w:rFonts w:ascii="Times New Roman;Times;serif" w:hAnsi="Times New Roman;Times;serif"/>
          <w:color w:val="000000"/>
          <w:sz w:val="20"/>
        </w:rPr>
        <w:t xml:space="preserve">, </w:t>
      </w:r>
      <w:r>
        <w:rPr>
          <w:rFonts w:ascii="Times New Roman;Times;serif" w:hAnsi="Times New Roman;Times;serif"/>
          <w:b/>
          <w:color w:val="000000"/>
          <w:sz w:val="20"/>
        </w:rPr>
        <w:t>AND HAVE BEEN ACQUIRED FOR INVESTMENT AND NOT WITH A VIEW TO</w:t>
      </w:r>
      <w:r>
        <w:rPr>
          <w:rFonts w:ascii="Times New Roman;Times;serif" w:hAnsi="Times New Roman;Times;serif"/>
          <w:color w:val="000000"/>
          <w:sz w:val="20"/>
        </w:rPr>
        <w:t xml:space="preserve">, </w:t>
      </w:r>
      <w:r>
        <w:rPr>
          <w:rFonts w:ascii="Times New Roman;Times;serif" w:hAnsi="Times New Roman;Times;serif"/>
          <w:b/>
          <w:color w:val="000000"/>
          <w:sz w:val="20"/>
        </w:rPr>
        <w:t>OR IN CONNECTION WITH, THE SALE OR DISTRIBUTION THEREOF</w:t>
      </w:r>
      <w:r>
        <w:rPr>
          <w:rFonts w:ascii="Times New Roman;Times;serif" w:hAnsi="Times New Roman;Times;serif"/>
          <w:color w:val="000000"/>
          <w:sz w:val="20"/>
        </w:rPr>
        <w:t xml:space="preserve">. </w:t>
      </w:r>
      <w:r>
        <w:rPr>
          <w:rFonts w:ascii="Times New Roman;Times;serif" w:hAnsi="Times New Roman;Times;serif"/>
          <w:b/>
          <w:color w:val="000000"/>
          <w:sz w:val="20"/>
        </w:rPr>
        <w:t>NO SUCH SALE OR DISTRIBUTION MAY BE EFFECTED WITHOUT AN EFFECTIVE REGISTRATION STATEMENT RELATED THERETO OR AN OPINION OF COUNSEL IN A FORM SATISFACTORY TO THE COMPANY THAT SUCH REGISTRATION IS NOT REQUIRED UNDER THE SECURITIES ACT OF 1933</w:t>
      </w:r>
      <w:r>
        <w:rPr>
          <w:rFonts w:ascii="Times New Roman;Times;serif" w:hAnsi="Times New Roman;Times;serif"/>
          <w:color w:val="000000"/>
          <w:sz w:val="20"/>
        </w:rPr>
        <w:t>.</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b/>
          <w:color w:val="000000"/>
          <w:sz w:val="20"/>
        </w:rPr>
        <w:t>ANY TRANSFEREE OF THIS NOTE SHOULD CAREFULLY REVIEW THE TERMS OF THIS NOTE</w:t>
      </w:r>
      <w:r>
        <w:rPr>
          <w:rFonts w:ascii="Times New Roman;Times;serif" w:hAnsi="Times New Roman;Times;serif"/>
          <w:color w:val="000000"/>
          <w:sz w:val="20"/>
        </w:rPr>
        <w:t xml:space="preserve">. </w:t>
      </w:r>
      <w:r>
        <w:rPr>
          <w:rFonts w:ascii="Times New Roman;Times;serif" w:hAnsi="Times New Roman;Times;serif"/>
          <w:b/>
          <w:color w:val="000000"/>
          <w:sz w:val="20"/>
        </w:rPr>
        <w:t>THE PRINCIPAL AMOUNT REPRESENTED BY THIS NOTE AND</w:t>
      </w:r>
      <w:r>
        <w:rPr>
          <w:rFonts w:ascii="Times New Roman;Times;serif" w:hAnsi="Times New Roman;Times;serif"/>
          <w:color w:val="000000"/>
          <w:sz w:val="20"/>
        </w:rPr>
        <w:t xml:space="preserve">, </w:t>
      </w:r>
      <w:r>
        <w:rPr>
          <w:rFonts w:ascii="Times New Roman;Times;serif" w:hAnsi="Times New Roman;Times;serif"/>
          <w:b/>
          <w:color w:val="000000"/>
          <w:sz w:val="20"/>
        </w:rPr>
        <w:t>ACCORDINGLY</w:t>
      </w:r>
      <w:r>
        <w:rPr>
          <w:rFonts w:ascii="Times New Roman;Times;serif" w:hAnsi="Times New Roman;Times;serif"/>
          <w:color w:val="000000"/>
          <w:sz w:val="20"/>
        </w:rPr>
        <w:t xml:space="preserve">, </w:t>
      </w:r>
      <w:r>
        <w:rPr>
          <w:rFonts w:ascii="Times New Roman;Times;serif" w:hAnsi="Times New Roman;Times;serif"/>
          <w:b/>
          <w:color w:val="000000"/>
          <w:sz w:val="20"/>
        </w:rPr>
        <w:t>THE SECURITIES ISSUABLE UPON CONVERSION HEREOF MAY BE LESS THAN THE AMOUNTS SET FORTH ON THE FACE HEREOF PURSUANT TO SECTION 4</w:t>
      </w:r>
      <w:r>
        <w:rPr>
          <w:rFonts w:ascii="Times New Roman;Times;serif" w:hAnsi="Times New Roman;Times;serif"/>
          <w:color w:val="000000"/>
          <w:sz w:val="20"/>
        </w:rPr>
        <w:t>(</w:t>
      </w:r>
      <w:r>
        <w:rPr>
          <w:rFonts w:ascii="Times New Roman;Times;serif" w:hAnsi="Times New Roman;Times;serif"/>
          <w:b/>
          <w:color w:val="000000"/>
          <w:sz w:val="20"/>
        </w:rPr>
        <w:t>a</w:t>
      </w:r>
      <w:r>
        <w:rPr>
          <w:rFonts w:ascii="Times New Roman;Times;serif" w:hAnsi="Times New Roman;Times;serif"/>
          <w:color w:val="000000"/>
          <w:sz w:val="20"/>
        </w:rPr>
        <w:t xml:space="preserve">) </w:t>
      </w:r>
      <w:r>
        <w:rPr>
          <w:rFonts w:ascii="Times New Roman;Times;serif" w:hAnsi="Times New Roman;Times;serif"/>
          <w:b/>
          <w:color w:val="000000"/>
          <w:sz w:val="20"/>
        </w:rPr>
        <w:t>OF THIS NOTE</w:t>
      </w:r>
      <w:r>
        <w:rPr>
          <w:rFonts w:ascii="Times New Roman;Times;serif" w:hAnsi="Times New Roman;Times;serif"/>
          <w:color w:val="000000"/>
          <w:sz w:val="20"/>
        </w:rPr>
        <w:t>.</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Original Issue Date: [________]</w:t>
      </w:r>
    </w:p>
    <w:p>
      <w:pPr>
        <w:pStyle w:val="TextBody"/>
        <w:bidi w:val="0"/>
        <w:spacing w:lineRule="auto" w:line="300" w:before="0" w:after="0"/>
        <w:jc w:val="right"/>
        <w:rPr>
          <w:rFonts w:ascii="Times New Roman;Times;serif" w:hAnsi="Times New Roman;Times;serif"/>
          <w:color w:val="000000"/>
          <w:sz w:val="20"/>
        </w:rPr>
      </w:pPr>
      <w:r>
        <w:rPr>
          <w:rFonts w:ascii="Times New Roman;Times;serif" w:hAnsi="Times New Roman;Times;serif"/>
          <w:color w:val="000000"/>
          <w:sz w:val="20"/>
        </w:rPr>
        <w:t>$[  ]</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SENIOR SECURED CONVERTIBLE NOTE</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922"/>
        <w:jc w:val="both"/>
        <w:rPr>
          <w:rFonts w:ascii="Times New Roman;Times;serif" w:hAnsi="Times New Roman;Times;serif"/>
          <w:color w:val="000000"/>
          <w:sz w:val="20"/>
        </w:rPr>
      </w:pPr>
      <w:r>
        <w:rPr>
          <w:rFonts w:ascii="Times New Roman;Times;serif" w:hAnsi="Times New Roman;Times;serif"/>
          <w:color w:val="000000"/>
          <w:sz w:val="20"/>
        </w:rPr>
        <w:t>THIS SENIOR SECURED CONVERTIBLE NOTE is one of a series of duly authorized and validly issued Senior Secured Convertible Notes of Lifeward Ltd., an Israeli company (the “</w:t>
      </w:r>
      <w:r>
        <w:rPr>
          <w:rFonts w:ascii="Times New Roman;Times;serif" w:hAnsi="Times New Roman;Times;serif"/>
          <w:color w:val="000000"/>
          <w:sz w:val="20"/>
          <w:u w:val="single"/>
        </w:rPr>
        <w:t>Company</w:t>
      </w:r>
      <w:r>
        <w:rPr>
          <w:rFonts w:ascii="Times New Roman;Times;serif" w:hAnsi="Times New Roman;Times;serif"/>
          <w:color w:val="000000"/>
          <w:sz w:val="20"/>
        </w:rPr>
        <w:t>”), designated as its Senior Secured Convertible Note (this note, the “</w:t>
      </w:r>
      <w:r>
        <w:rPr>
          <w:rFonts w:ascii="Times New Roman;Times;serif" w:hAnsi="Times New Roman;Times;serif"/>
          <w:color w:val="000000"/>
          <w:sz w:val="20"/>
          <w:u w:val="single"/>
        </w:rPr>
        <w:t>Note</w:t>
      </w:r>
      <w:r>
        <w:rPr>
          <w:rFonts w:ascii="Times New Roman;Times;serif" w:hAnsi="Times New Roman;Times;serif"/>
          <w:color w:val="000000"/>
          <w:sz w:val="20"/>
        </w:rPr>
        <w:t>” and, collectively with the other notes of such series, the “</w:t>
      </w:r>
      <w:r>
        <w:rPr>
          <w:rFonts w:ascii="Times New Roman;Times;serif" w:hAnsi="Times New Roman;Times;serif"/>
          <w:color w:val="000000"/>
          <w:sz w:val="20"/>
          <w:u w:val="single"/>
        </w:rPr>
        <w:t>Notes</w:t>
      </w:r>
      <w:r>
        <w:rPr>
          <w:rFonts w:ascii="Times New Roman;Times;serif" w:hAnsi="Times New Roman;Times;serif"/>
          <w:color w:val="000000"/>
          <w:sz w:val="20"/>
        </w:rPr>
        <w:t>”) and is issued pursuant to the Purchase Agreement (as defined below).</w:t>
      </w:r>
    </w:p>
    <w:p>
      <w:pPr>
        <w:pStyle w:val="TextBody"/>
        <w:bidi w:val="0"/>
        <w:spacing w:lineRule="auto" w:line="300" w:before="0" w:after="0"/>
        <w:jc w:val="left"/>
        <w:rPr>
          <w:color w:val="000000"/>
        </w:rPr>
      </w:pPr>
      <w:r>
        <w:rPr>
          <w:color w:val="000000"/>
        </w:rPr>
        <w:t> </w:t>
      </w:r>
    </w:p>
    <w:p>
      <w:pPr>
        <w:pStyle w:val="TextBody"/>
        <w:bidi w:val="0"/>
        <w:spacing w:lineRule="auto" w:line="24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FOR VALUE RECEIVED, the Company promises to pay to [●] or its registered permitted assigns (the “</w:t>
      </w:r>
      <w:r>
        <w:rPr>
          <w:rFonts w:ascii="Times New Roman;Times;serif" w:hAnsi="Times New Roman;Times;serif"/>
          <w:color w:val="000000"/>
          <w:sz w:val="20"/>
          <w:u w:val="single"/>
        </w:rPr>
        <w:t>Holder</w:t>
      </w:r>
      <w:r>
        <w:rPr>
          <w:rFonts w:ascii="Times New Roman;Times;serif" w:hAnsi="Times New Roman;Times;serif"/>
          <w:color w:val="000000"/>
          <w:sz w:val="20"/>
        </w:rPr>
        <w:t>”), or shall have paid pursuant to the terms hereunder, the principal sum of up to $[  ] on [________]1 (the “</w:t>
      </w:r>
      <w:r>
        <w:rPr>
          <w:rFonts w:ascii="Times New Roman;Times;serif" w:hAnsi="Times New Roman;Times;serif"/>
          <w:color w:val="000000"/>
          <w:sz w:val="20"/>
          <w:u w:val="single"/>
        </w:rPr>
        <w:t>Maturity Date</w:t>
      </w:r>
      <w:r>
        <w:rPr>
          <w:rFonts w:ascii="Times New Roman;Times;serif" w:hAnsi="Times New Roman;Times;serif"/>
          <w:color w:val="000000"/>
          <w:sz w:val="20"/>
        </w:rPr>
        <w:t>”), or such earlier date as this Note is required or permitted to be repaid or converted as provided hereunder; provided, however, that the Maturity Date may be extended by the written mutual consent of the Company and the Holder. On the Maturity Date, the Company promises to pay to the Holder, or shall have paid pursuant to the terms hereunder, any interest to the Holder on the aggregate unconverted and then outstanding principal amount of this Note in accordance with the provisions hereof.  This Note is subject to the following additional provisions: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10"/>
        <w:jc w:val="both"/>
        <w:rPr>
          <w:rFonts w:ascii="Times New Roman;Times;serif" w:hAnsi="Times New Roman;Times;serif"/>
          <w:color w:val="000000"/>
          <w:sz w:val="20"/>
        </w:rPr>
      </w:pPr>
      <w:r>
        <w:rPr>
          <w:rFonts w:ascii="Times New Roman;Times;serif" w:hAnsi="Times New Roman;Times;serif"/>
          <w:color w:val="000000"/>
          <w:sz w:val="20"/>
          <w:u w:val="single"/>
        </w:rPr>
        <w:t>Section 1.</w:t>
      </w:r>
      <w:r>
        <w:rPr>
          <w:rFonts w:ascii="Times New Roman;Times;serif" w:hAnsi="Times New Roman;Times;serif"/>
          <w:color w:val="000000"/>
          <w:sz w:val="20"/>
        </w:rPr>
        <w:t>          </w:t>
      </w:r>
      <w:r>
        <w:rPr>
          <w:rFonts w:ascii="Times New Roman;Times;serif" w:hAnsi="Times New Roman;Times;serif"/>
          <w:color w:val="000000"/>
          <w:sz w:val="20"/>
          <w:u w:val="single"/>
        </w:rPr>
        <w:t>Definitions</w:t>
      </w:r>
      <w:r>
        <w:rPr>
          <w:rFonts w:ascii="Times New Roman;Times;serif" w:hAnsi="Times New Roman;Times;serif"/>
          <w:color w:val="000000"/>
          <w:sz w:val="20"/>
        </w:rPr>
        <w:t>. For the purposes hereof, in addition to the terms defined elsewhere in this Note, (a) capitalized terms not otherwise defined herein shall have the meanings set forth in the Purchase Agreement, and (b) the following terms shall have the following meanings: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color w:val="000000"/>
        </w:rPr>
      </w:pPr>
      <w:r>
        <w:rPr>
          <w:color w:val="000000"/>
        </w:rPr>
        <w:t>“</w:t>
      </w:r>
      <w:r>
        <w:rPr>
          <w:rFonts w:ascii="Times New Roman;Times;serif" w:hAnsi="Times New Roman;Times;serif"/>
          <w:color w:val="000000"/>
          <w:sz w:val="20"/>
          <w:u w:val="single"/>
        </w:rPr>
        <w:t>Additional Existing Notes</w:t>
      </w:r>
      <w:r>
        <w:rPr>
          <w:rFonts w:ascii="Times New Roman;Times;serif" w:hAnsi="Times New Roman;Times;serif"/>
          <w:color w:val="000000"/>
          <w:sz w:val="20"/>
        </w:rPr>
        <w:t>” means any additional senior secured convertible notes issued from time to time pursuant to the Prior SPA in one or more additional closings.</w:t>
      </w:r>
    </w:p>
    <w:p>
      <w:pPr>
        <w:pStyle w:val="TextBody"/>
        <w:bidi w:val="0"/>
        <w:spacing w:lineRule="auto" w:line="300" w:before="0" w:after="0"/>
        <w:jc w:val="left"/>
        <w:rPr/>
      </w:pPr>
      <w:r>
        <w:rPr/>
      </w:r>
    </w:p>
    <w:p>
      <w:pPr>
        <w:pStyle w:val="TextBody"/>
        <w:bidi w:val="0"/>
        <w:spacing w:lineRule="auto" w:line="300" w:before="0" w:after="0"/>
        <w:jc w:val="left"/>
        <w:rPr/>
      </w:pPr>
      <w:r>
        <w:rPr/>
      </w:r>
    </w:p>
    <w:p>
      <w:pPr>
        <w:pStyle w:val="HorizontalLine"/>
        <w:pBdr>
          <w:bottom w:val="single" w:sz="12" w:space="0" w:color="808080"/>
        </w:pBdr>
        <w:bidi w:val="0"/>
        <w:spacing w:lineRule="auto" w:line="300"/>
        <w:jc w:val="left"/>
        <w:rPr/>
      </w:pPr>
      <w:r>
        <w:rPr/>
      </w:r>
    </w:p>
    <w:p>
      <w:pPr>
        <w:pStyle w:val="TextBody"/>
        <w:bidi w:val="0"/>
        <w:spacing w:lineRule="auto" w:line="240" w:before="0" w:after="0"/>
        <w:jc w:val="left"/>
        <w:rPr>
          <w:rFonts w:ascii="Times New Roman;Times;serif" w:hAnsi="Times New Roman;Times;serif"/>
          <w:color w:val="000000"/>
          <w:sz w:val="20"/>
        </w:rPr>
      </w:pPr>
      <w:r>
        <w:rPr>
          <w:rFonts w:ascii="Times New Roman;Times;serif" w:hAnsi="Times New Roman;Times;serif"/>
          <w:color w:val="000000"/>
          <w:sz w:val="20"/>
        </w:rPr>
        <w:t>1 To be the date that is the three (3) year anniversary of the Original Issue Date, provided that, if such date is not a Trading Day, to be the immediately following Trading Day.</w:t>
      </w:r>
    </w:p>
    <w:p>
      <w:pPr>
        <w:pStyle w:val="HorizontalLine"/>
        <w:pBdr>
          <w:bottom w:val="single" w:sz="12" w:space="0" w:color="808080"/>
        </w:pBdr>
        <w:bidi w:val="0"/>
        <w:spacing w:lineRule="auto" w:line="300" w:before="200" w:after="200"/>
        <w:jc w:val="left"/>
        <w:rPr/>
      </w:pPr>
      <w:r>
        <w:rPr/>
      </w:r>
    </w:p>
    <w:p>
      <w:pPr>
        <w:pStyle w:val="TextBody"/>
        <w:bidi w:val="0"/>
        <w:spacing w:lineRule="auto" w:line="300" w:before="0" w:after="0"/>
        <w:ind w:left="720" w:right="0" w:firstLine="720"/>
        <w:jc w:val="both"/>
        <w:rPr>
          <w:rFonts w:ascii="Times New Roman;Times;serif" w:hAnsi="Times New Roman;Times;serif"/>
          <w:sz w:val="20"/>
        </w:rPr>
      </w:pPr>
      <w:r>
        <w:rPr>
          <w:rFonts w:ascii="Times New Roman;Times;serif" w:hAnsi="Times New Roman;Times;serif"/>
          <w:sz w:val="20"/>
        </w:rPr>
      </w:r>
    </w:p>
    <w:p>
      <w:pPr>
        <w:pStyle w:val="TextBody"/>
        <w:bidi w:val="0"/>
        <w:spacing w:lineRule="auto" w:line="300" w:before="0" w:after="0"/>
        <w:ind w:left="720" w:right="0" w:firstLine="720"/>
        <w:jc w:val="both"/>
        <w:rPr>
          <w:color w:val="000000"/>
        </w:rPr>
      </w:pPr>
      <w:r>
        <w:rPr>
          <w:color w:val="000000"/>
        </w:rPr>
        <w:t>“</w:t>
      </w:r>
      <w:r>
        <w:rPr>
          <w:rFonts w:ascii="Times New Roman;Times;serif" w:hAnsi="Times New Roman;Times;serif"/>
          <w:color w:val="000000"/>
          <w:sz w:val="20"/>
          <w:u w:val="single"/>
        </w:rPr>
        <w:t>Bankruptcy Event</w:t>
      </w:r>
      <w:r>
        <w:rPr>
          <w:rFonts w:ascii="Times New Roman;Times;serif" w:hAnsi="Times New Roman;Times;serif"/>
          <w:color w:val="000000"/>
          <w:sz w:val="20"/>
        </w:rPr>
        <w:t>” means any of the following events: (a) the Company or any Subsidiary thereof commences a case or other proceeding under any bankruptcy, reorganization, winding-up, arrangement, adjustment of debt, relief of debtors, dissolution, insolvency, or liquidation or similar law of any jurisdiction relating to the Company or any Subsidiary thereof, (b) there is commenced against the Company or any Subsidiary thereof any such case or proceeding that is not dismissed within 60 days after commencement, (c) the Company or any Subsidiary thereof is adjudicated insolvent or bankrupt or any order of relief or other order approving as properly filed a petition seeking the insolvency, bankruptcy, reorganization, winding-up, arrangement, adjustment of debt, relief of debtors, dissolution, liquidation or any similar proceeding is entered, (d) the Company or any Subsidiary thereof suffers any appointment of any custodian, receiver, liquidator or the like for it or any substantial part of its property that is not discharged or stayed within 60 calendar days after such appointment, (e) the Company or any Subsidiary thereof makes a general assignment for the benefit of creditors, (f) the Company or any Subsidiary thereof calls a meeting of its creditors with a view to arranging a composition, adjustment or restructuring of its debts, (g) the Company or any Subsidiary thereof admits in writing that it is generally unable to pay its debts as they become due, or (h) the Company or any Subsidiary thereof, by any act or failure to act, expressly indicates its consent to, approval of or acquiescence in any of the foregoing or takes any corporate or other action for the purpose of effecting any of the foregoing.</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color w:val="000000"/>
        </w:rPr>
      </w:pPr>
      <w:r>
        <w:rPr>
          <w:color w:val="000000"/>
        </w:rPr>
        <w:t>“</w:t>
      </w:r>
      <w:r>
        <w:rPr>
          <w:rFonts w:ascii="Times New Roman;Times;serif" w:hAnsi="Times New Roman;Times;serif"/>
          <w:color w:val="000000"/>
          <w:sz w:val="20"/>
          <w:u w:val="single"/>
        </w:rPr>
        <w:t>Beneficial Ownership Limitation</w:t>
      </w:r>
      <w:r>
        <w:rPr>
          <w:rFonts w:ascii="Times New Roman;Times;serif" w:hAnsi="Times New Roman;Times;serif"/>
          <w:color w:val="000000"/>
          <w:sz w:val="20"/>
        </w:rPr>
        <w:t>” shall have the meaning set forth in Section 4(d).</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color w:val="000000"/>
        </w:rPr>
      </w:pPr>
      <w:r>
        <w:rPr>
          <w:color w:val="000000"/>
        </w:rPr>
        <w:t>“</w:t>
      </w:r>
      <w:r>
        <w:rPr>
          <w:rFonts w:ascii="Times New Roman;Times;serif" w:hAnsi="Times New Roman;Times;serif"/>
          <w:color w:val="000000"/>
          <w:sz w:val="20"/>
          <w:u w:val="single"/>
        </w:rPr>
        <w:t>Business Day</w:t>
      </w:r>
      <w:r>
        <w:rPr>
          <w:rFonts w:ascii="Times New Roman;Times;serif" w:hAnsi="Times New Roman;Times;serif"/>
          <w:color w:val="000000"/>
          <w:sz w:val="20"/>
        </w:rPr>
        <w:t xml:space="preserve">” means any day other than Saturday, Sunday or other day on which commercial banks in the City of New York are authorized or required by law to remain closed;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however</w:t>
      </w:r>
      <w:r>
        <w:rPr>
          <w:rFonts w:ascii="Times New Roman;Times;serif" w:hAnsi="Times New Roman;Times;serif"/>
          <w:color w:val="000000"/>
          <w:sz w:val="20"/>
        </w:rPr>
        <w:t>, for clarification, commercial banks shall not be deemed to be authorized or required by law to remain closed due to “stay at home”, “shelter-in-place”, “non-essential employee”  or any other similar orders or restrictions or the closure of any physical branch locations at the direction of any governmental authority so long as the electronic funds transfer systems (including for wire transfers) of commercial banks in the City of New York are generally open for use by customers on such day.</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color w:val="000000"/>
        </w:rPr>
      </w:pPr>
      <w:r>
        <w:rPr>
          <w:color w:val="000000"/>
        </w:rPr>
        <w:t>“</w:t>
      </w:r>
      <w:r>
        <w:rPr>
          <w:rFonts w:ascii="Times New Roman;Times;serif" w:hAnsi="Times New Roman;Times;serif"/>
          <w:color w:val="000000"/>
          <w:sz w:val="20"/>
          <w:u w:val="single"/>
        </w:rPr>
        <w:t>Change of Control Transaction</w:t>
      </w:r>
      <w:r>
        <w:rPr>
          <w:rFonts w:ascii="Times New Roman;Times;serif" w:hAnsi="Times New Roman;Times;serif"/>
          <w:color w:val="000000"/>
          <w:sz w:val="20"/>
        </w:rPr>
        <w:t>” means the occurrence after the date hereof of any of (a) an acquisition after the date hereof by an individual or legal entity or “group” (as described in Rule 13d-5(b)(1) promulgated under the Exchange Act) of effective control (whether through legal or beneficial ownership of the share capital of the Company, by contract or otherwise) of in excess of 50% of the voting power of the Company (other than by means of conversion of Existing Notes or exercise of the Existing Warrants), (b) the Company merges into or consolidates with any other Person, or any Person merges into or consolidates with the Company and, after giving effect to such transaction, the shareholders of the Company immediately prior to such transaction own less than 50% of the aggregate voting power of the Company or the successor entity of such transaction, (c) the Company (and all of its Subsidiaries, taken as a whole) sells or transfers all or substantially all of its assets to another Person, (d) a replacement at one time or within a one year period of more than one-half of the members of the Board of Directors which is not approved by a majority of those individuals who are members of the Board of Directors on the Original Issue Date (or by those individuals who are serving as members of the Board of Directors on any date whose nomination to the Board of Directors was approved by a majority of the members of the Board of Directors who are members on the date hereof), or (e) the execution by the Company of an agreement to which the Company is a party or by which it is bound, providing for any of the events set forth in clauses (a) through (d) above.</w:t>
      </w:r>
    </w:p>
    <w:p>
      <w:pPr>
        <w:pStyle w:val="TextBody"/>
        <w:bidi w:val="0"/>
        <w:spacing w:lineRule="auto" w:line="300"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B - 2</w:t>
      </w:r>
    </w:p>
    <w:p>
      <w:pPr>
        <w:pStyle w:val="HorizontalLine"/>
        <w:pBdr>
          <w:bottom w:val="single" w:sz="12" w:space="0" w:color="808080"/>
        </w:pBdr>
        <w:bidi w:val="0"/>
        <w:spacing w:lineRule="auto" w:line="300" w:before="200" w:after="200"/>
        <w:jc w:val="left"/>
        <w:rPr/>
      </w:pPr>
      <w:r>
        <w:rPr/>
      </w:r>
    </w:p>
    <w:p>
      <w:pPr>
        <w:pStyle w:val="TextBody"/>
        <w:bidi w:val="0"/>
        <w:spacing w:lineRule="auto" w:line="300" w:before="0" w:after="0"/>
        <w:ind w:left="720" w:right="0" w:firstLine="720"/>
        <w:jc w:val="both"/>
        <w:rPr>
          <w:color w:val="000000"/>
        </w:rPr>
      </w:pPr>
      <w:r>
        <w:rPr>
          <w:color w:val="000000"/>
        </w:rPr>
        <w:t>“</w:t>
      </w:r>
      <w:r>
        <w:rPr>
          <w:rFonts w:ascii="Times New Roman;Times;serif" w:hAnsi="Times New Roman;Times;serif"/>
          <w:color w:val="000000"/>
          <w:sz w:val="20"/>
          <w:u w:val="single"/>
        </w:rPr>
        <w:t>Collateral</w:t>
      </w:r>
      <w:r>
        <w:rPr>
          <w:rFonts w:ascii="Times New Roman;Times;serif" w:hAnsi="Times New Roman;Times;serif"/>
          <w:color w:val="000000"/>
          <w:sz w:val="20"/>
        </w:rPr>
        <w:t>” shall have the meaning ascribed to such term in the Security Agreement.</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color w:val="000000"/>
        </w:rPr>
      </w:pPr>
      <w:r>
        <w:rPr>
          <w:color w:val="000000"/>
        </w:rPr>
        <w:t>“</w:t>
      </w:r>
      <w:r>
        <w:rPr>
          <w:rFonts w:ascii="Times New Roman;Times;serif" w:hAnsi="Times New Roman;Times;serif"/>
          <w:color w:val="000000"/>
          <w:sz w:val="20"/>
          <w:u w:val="single"/>
        </w:rPr>
        <w:t>Conversion Date</w:t>
      </w:r>
      <w:r>
        <w:rPr>
          <w:rFonts w:ascii="Times New Roman;Times;serif" w:hAnsi="Times New Roman;Times;serif"/>
          <w:color w:val="000000"/>
          <w:sz w:val="20"/>
        </w:rPr>
        <w:t>” shall have the meaning set forth in Section 4(a).</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color w:val="000000"/>
        </w:rPr>
      </w:pPr>
      <w:r>
        <w:rPr>
          <w:color w:val="000000"/>
        </w:rPr>
        <w:t>“</w:t>
      </w:r>
      <w:r>
        <w:rPr>
          <w:rFonts w:ascii="Times New Roman;Times;serif" w:hAnsi="Times New Roman;Times;serif"/>
          <w:color w:val="000000"/>
          <w:sz w:val="20"/>
          <w:u w:val="single"/>
        </w:rPr>
        <w:t>Conversion Price</w:t>
      </w:r>
      <w:r>
        <w:rPr>
          <w:rFonts w:ascii="Times New Roman;Times;serif" w:hAnsi="Times New Roman;Times;serif"/>
          <w:color w:val="000000"/>
          <w:sz w:val="20"/>
        </w:rPr>
        <w:t>” shall have the meaning set forth in Section 4(b).</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color w:val="000000"/>
        </w:rPr>
      </w:pPr>
      <w:r>
        <w:rPr>
          <w:color w:val="000000"/>
        </w:rPr>
        <w:t>“</w:t>
      </w:r>
      <w:r>
        <w:rPr>
          <w:rFonts w:ascii="Times New Roman;Times;serif" w:hAnsi="Times New Roman;Times;serif"/>
          <w:color w:val="000000"/>
          <w:sz w:val="20"/>
          <w:u w:val="single"/>
        </w:rPr>
        <w:t>Conversion Shares</w:t>
      </w:r>
      <w:r>
        <w:rPr>
          <w:rFonts w:ascii="Times New Roman;Times;serif" w:hAnsi="Times New Roman;Times;serif"/>
          <w:color w:val="000000"/>
          <w:sz w:val="20"/>
        </w:rPr>
        <w:t>” means, collectively, Ordinary Shares issuable upon conversion of this Note in accordance with the terms hereof.</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color w:val="000000"/>
        </w:rPr>
      </w:pPr>
      <w:r>
        <w:rPr>
          <w:color w:val="000000"/>
        </w:rPr>
        <w:t>“</w:t>
      </w:r>
      <w:r>
        <w:rPr>
          <w:rFonts w:ascii="Times New Roman;Times;serif" w:hAnsi="Times New Roman;Times;serif"/>
          <w:color w:val="000000"/>
          <w:sz w:val="20"/>
          <w:u w:val="single"/>
        </w:rPr>
        <w:t>Disqualified Stock</w:t>
      </w:r>
      <w:r>
        <w:rPr>
          <w:rFonts w:ascii="Times New Roman;Times;serif" w:hAnsi="Times New Roman;Times;serif"/>
          <w:color w:val="000000"/>
          <w:sz w:val="20"/>
        </w:rPr>
        <w:t>” means, with respect to any person, any equity interests of such person that, by its terms (or by the terms of any security or other equity interests into which it is convertible or exercisable or for which it is exchangeable) or upon the happening of any event or condition (a) matures or is mandatorily redeemable, pursuant to a sinking fund obligation or otherwise, (b) is redeemable at the option of the holder thereof, in whole or in part, (c) provides for the scheduled payments of dividends in cash, or (d) is or becomes convertible or exercisable into or exchangeable for Indebtedness or any other equity interests that would constitute Disqualified Stock.</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color w:val="000000"/>
        </w:rPr>
      </w:pPr>
      <w:r>
        <w:rPr>
          <w:color w:val="000000"/>
        </w:rPr>
        <w:t>“</w:t>
      </w:r>
      <w:r>
        <w:rPr>
          <w:rFonts w:ascii="Times New Roman;Times;serif" w:hAnsi="Times New Roman;Times;serif"/>
          <w:color w:val="000000"/>
          <w:sz w:val="20"/>
          <w:u w:val="single"/>
        </w:rPr>
        <w:t>Event of Default</w:t>
      </w:r>
      <w:r>
        <w:rPr>
          <w:rFonts w:ascii="Times New Roman;Times;serif" w:hAnsi="Times New Roman;Times;serif"/>
          <w:color w:val="000000"/>
          <w:sz w:val="20"/>
        </w:rPr>
        <w:t>” shall have the meaning set forth in Section 8(a).</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color w:val="000000"/>
        </w:rPr>
      </w:pPr>
      <w:r>
        <w:rPr>
          <w:color w:val="000000"/>
        </w:rPr>
        <w:t>“</w:t>
      </w:r>
      <w:r>
        <w:rPr>
          <w:rFonts w:ascii="Times New Roman;Times;serif" w:hAnsi="Times New Roman;Times;serif"/>
          <w:color w:val="000000"/>
          <w:sz w:val="20"/>
          <w:u w:val="single"/>
        </w:rPr>
        <w:t>Existing Initial Notes</w:t>
      </w:r>
      <w:r>
        <w:rPr>
          <w:rFonts w:ascii="Times New Roman;Times;serif" w:hAnsi="Times New Roman;Times;serif"/>
          <w:color w:val="000000"/>
          <w:sz w:val="20"/>
        </w:rPr>
        <w:t>” means those certain Senior Secured Convertible Notes, issued by the Company pursuant to that certain Securities Purchase Agreement, dated as of January 12, 2026, between the Company and the purchasers party thereto (“</w:t>
      </w:r>
      <w:r>
        <w:rPr>
          <w:rFonts w:ascii="Times New Roman;Times;serif" w:hAnsi="Times New Roman;Times;serif"/>
          <w:color w:val="000000"/>
          <w:sz w:val="20"/>
          <w:u w:val="single"/>
        </w:rPr>
        <w:t>Prior SPA</w:t>
      </w:r>
      <w:r>
        <w:rPr>
          <w:rFonts w:ascii="Times New Roman;Times;serif" w:hAnsi="Times New Roman;Times;serif"/>
          <w:color w:val="000000"/>
          <w:sz w:val="20"/>
        </w:rPr>
        <w:t>”).</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color w:val="000000"/>
        </w:rPr>
      </w:pPr>
      <w:r>
        <w:rPr>
          <w:color w:val="000000"/>
        </w:rPr>
        <w:t>“</w:t>
      </w:r>
      <w:r>
        <w:rPr>
          <w:rFonts w:ascii="Times New Roman;Times;serif" w:hAnsi="Times New Roman;Times;serif"/>
          <w:color w:val="000000"/>
          <w:sz w:val="20"/>
          <w:u w:val="single"/>
        </w:rPr>
        <w:t>Existing Notes</w:t>
      </w:r>
      <w:r>
        <w:rPr>
          <w:rFonts w:ascii="Times New Roman;Times;serif" w:hAnsi="Times New Roman;Times;serif"/>
          <w:color w:val="000000"/>
          <w:sz w:val="20"/>
        </w:rPr>
        <w:t>” means, collectively: (i) the Existing Initial Notes and (ii) any Additional Existing Notes.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color w:val="000000"/>
        </w:rPr>
      </w:pPr>
      <w:r>
        <w:rPr>
          <w:color w:val="000000"/>
        </w:rPr>
        <w:t>“</w:t>
      </w:r>
      <w:r>
        <w:rPr>
          <w:rFonts w:ascii="Times New Roman;Times;serif" w:hAnsi="Times New Roman;Times;serif"/>
          <w:color w:val="000000"/>
          <w:sz w:val="20"/>
          <w:u w:val="single"/>
        </w:rPr>
        <w:t>Existing Warrants</w:t>
      </w:r>
      <w:r>
        <w:rPr>
          <w:rFonts w:ascii="Times New Roman;Times;serif" w:hAnsi="Times New Roman;Times;serif"/>
          <w:color w:val="000000"/>
          <w:sz w:val="20"/>
        </w:rPr>
        <w:t>” means, collectively: (i) those certain common stock purchase warrants issued by the Company pursuant to the Prior SPA and (ii) any additional ordinary share purchase warrants issued from time to time pursuant to the Prior SPA in one or more additional closings.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color w:val="000000"/>
        </w:rPr>
      </w:pPr>
      <w:r>
        <w:rPr>
          <w:color w:val="000000"/>
        </w:rPr>
        <w:t>“</w:t>
      </w:r>
      <w:r>
        <w:rPr>
          <w:rFonts w:ascii="Times New Roman;Times;serif" w:hAnsi="Times New Roman;Times;serif"/>
          <w:color w:val="000000"/>
          <w:sz w:val="20"/>
          <w:u w:val="single"/>
        </w:rPr>
        <w:t>Indebtedness</w:t>
      </w:r>
      <w:r>
        <w:rPr>
          <w:rFonts w:ascii="Times New Roman;Times;serif" w:hAnsi="Times New Roman;Times;serif"/>
          <w:color w:val="000000"/>
          <w:sz w:val="20"/>
        </w:rPr>
        <w:t>” of a Person shall include (a) all obligations for borrowed money or the deferred purchase price of property or services (excluding trade accounts payable incurred in the ordinary course of business), (b) all obligations evidenced by bonds, debentures, notes, or other similar instruments and all reimbursement or other obligations in respect of letters of credit, surety bonds, bankers acceptances, current swap agreements, interest rate hedging agreements, interest rate swaps or other financial products, (c) all capital lease obligations (as determined in accordance with GAAP, subject, to the proviso set forth in the definition of GAAP under the Purchase Agreement), (d) all obligations or liabilities secured by a Lien on any asset of such Person, irrespective of whether such obligation or liability is assumed by such Person (limited to the lesser of (x) the outstanding principal amount of such obligations or liabilities and (y) the fair market value of such asset), (e) any obligation arising with respect to any other transaction that is the functional equivalent of borrowing but which does not constitute a liability on the balance sheets of such Person, (f) Disqualified Stock, and (g) any obligation guaranteeing or intended to guarantee (whether directly or indirectly guaranteed, endorsed, co-made, discounted or sold with recourse) any of the foregoing obligations of any other Person.</w:t>
      </w:r>
    </w:p>
    <w:p>
      <w:pPr>
        <w:pStyle w:val="TextBody"/>
        <w:bidi w:val="0"/>
        <w:spacing w:lineRule="auto" w:line="300"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B - 3</w:t>
      </w:r>
    </w:p>
    <w:p>
      <w:pPr>
        <w:pStyle w:val="HorizontalLine"/>
        <w:pBdr>
          <w:bottom w:val="single" w:sz="12" w:space="0" w:color="808080"/>
        </w:pBdr>
        <w:bidi w:val="0"/>
        <w:spacing w:lineRule="auto" w:line="300" w:before="200" w:after="200"/>
        <w:jc w:val="left"/>
        <w:rPr/>
      </w:pPr>
      <w:r>
        <w:rPr/>
      </w:r>
    </w:p>
    <w:p>
      <w:pPr>
        <w:pStyle w:val="TextBody"/>
        <w:bidi w:val="0"/>
        <w:spacing w:lineRule="auto" w:line="300" w:before="0" w:after="0"/>
        <w:ind w:left="720" w:right="0" w:firstLine="720"/>
        <w:jc w:val="both"/>
        <w:rPr>
          <w:color w:val="000000"/>
        </w:rPr>
      </w:pPr>
      <w:r>
        <w:rPr>
          <w:color w:val="000000"/>
        </w:rPr>
        <w:t>“</w:t>
      </w:r>
      <w:r>
        <w:rPr>
          <w:rFonts w:ascii="Times New Roman;Times;serif" w:hAnsi="Times New Roman;Times;serif"/>
          <w:color w:val="000000"/>
          <w:sz w:val="20"/>
          <w:u w:val="single"/>
        </w:rPr>
        <w:t>Interest Accrual Date</w:t>
      </w:r>
      <w:r>
        <w:rPr>
          <w:rFonts w:ascii="Times New Roman;Times;serif" w:hAnsi="Times New Roman;Times;serif"/>
          <w:color w:val="000000"/>
          <w:sz w:val="20"/>
        </w:rPr>
        <w:t>” shall have the meaning set forth in Section 8(b).</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color w:val="000000"/>
        </w:rPr>
      </w:pPr>
      <w:r>
        <w:rPr>
          <w:color w:val="000000"/>
        </w:rPr>
        <w:t>“</w:t>
      </w:r>
      <w:r>
        <w:rPr>
          <w:rFonts w:ascii="Times New Roman;Times;serif" w:hAnsi="Times New Roman;Times;serif"/>
          <w:color w:val="000000"/>
          <w:sz w:val="20"/>
          <w:u w:val="single"/>
        </w:rPr>
        <w:t>Interest Payment Date</w:t>
      </w:r>
      <w:r>
        <w:rPr>
          <w:rFonts w:ascii="Times New Roman;Times;serif" w:hAnsi="Times New Roman;Times;serif"/>
          <w:color w:val="000000"/>
          <w:sz w:val="20"/>
        </w:rPr>
        <w:t>” shall have the meaning set forth in Section 2(a).</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color w:val="000000"/>
        </w:rPr>
      </w:pPr>
      <w:r>
        <w:rPr>
          <w:color w:val="000000"/>
        </w:rPr>
        <w:t>“</w:t>
      </w:r>
      <w:r>
        <w:rPr>
          <w:rFonts w:ascii="Times New Roman;Times;serif" w:hAnsi="Times New Roman;Times;serif"/>
          <w:color w:val="000000"/>
          <w:sz w:val="20"/>
          <w:u w:val="single"/>
        </w:rPr>
        <w:t>Investments</w:t>
      </w:r>
      <w:r>
        <w:rPr>
          <w:rFonts w:ascii="Times New Roman;Times;serif" w:hAnsi="Times New Roman;Times;serif"/>
          <w:color w:val="000000"/>
          <w:sz w:val="20"/>
        </w:rPr>
        <w:t>” means, as to any Person, any direct or indirect acquisition or investment by such Person by means of (a) the purchase or other acquisition (including by merger) of equity interests of another Person, (b) a loan, advance or capital contribution to, guarantee or assumption of debt of, or purchase or other acquisition of any other debt or interest in, another Person, or (c) the purchase or other acquisition (in one transaction or a series of transactions) of assets of another Person that constitute a business unit or all or a substantial part of the business of, such Person.</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color w:val="000000"/>
        </w:rPr>
      </w:pPr>
      <w:r>
        <w:rPr>
          <w:color w:val="000000"/>
        </w:rPr>
        <w:t>“</w:t>
      </w:r>
      <w:r>
        <w:rPr>
          <w:rFonts w:ascii="Times New Roman;Times;serif" w:hAnsi="Times New Roman;Times;serif"/>
          <w:color w:val="000000"/>
          <w:sz w:val="20"/>
          <w:u w:val="single"/>
        </w:rPr>
        <w:t>Late Fees</w:t>
      </w:r>
      <w:r>
        <w:rPr>
          <w:rFonts w:ascii="Times New Roman;Times;serif" w:hAnsi="Times New Roman;Times;serif"/>
          <w:color w:val="000000"/>
          <w:sz w:val="20"/>
        </w:rPr>
        <w:t>” shall have the meaning set forth in Section 2(c).</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color w:val="000000"/>
        </w:rPr>
      </w:pPr>
      <w:r>
        <w:rPr>
          <w:color w:val="000000"/>
        </w:rPr>
        <w:t>“</w:t>
      </w:r>
      <w:r>
        <w:rPr>
          <w:rFonts w:ascii="Times New Roman;Times;serif" w:hAnsi="Times New Roman;Times;serif"/>
          <w:color w:val="000000"/>
          <w:sz w:val="20"/>
          <w:u w:val="single"/>
        </w:rPr>
        <w:t>New York Courts</w:t>
      </w:r>
      <w:r>
        <w:rPr>
          <w:rFonts w:ascii="Times New Roman;Times;serif" w:hAnsi="Times New Roman;Times;serif"/>
          <w:color w:val="000000"/>
          <w:sz w:val="20"/>
        </w:rPr>
        <w:t>” shall have the meaning set forth in Section 10(d).</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color w:val="000000"/>
        </w:rPr>
      </w:pPr>
      <w:r>
        <w:rPr>
          <w:color w:val="000000"/>
        </w:rPr>
        <w:t>“</w:t>
      </w:r>
      <w:r>
        <w:rPr>
          <w:rFonts w:ascii="Times New Roman;Times;serif" w:hAnsi="Times New Roman;Times;serif"/>
          <w:color w:val="000000"/>
          <w:sz w:val="20"/>
          <w:u w:val="single"/>
        </w:rPr>
        <w:t>Note Register</w:t>
      </w:r>
      <w:r>
        <w:rPr>
          <w:rFonts w:ascii="Times New Roman;Times;serif" w:hAnsi="Times New Roman;Times;serif"/>
          <w:color w:val="000000"/>
          <w:sz w:val="20"/>
        </w:rPr>
        <w:t>” shall have the meaning set forth in Section 2(b).</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color w:val="000000"/>
        </w:rPr>
      </w:pPr>
      <w:r>
        <w:rPr>
          <w:color w:val="000000"/>
        </w:rPr>
        <w:t>“</w:t>
      </w:r>
      <w:r>
        <w:rPr>
          <w:rFonts w:ascii="Times New Roman;Times;serif" w:hAnsi="Times New Roman;Times;serif"/>
          <w:color w:val="000000"/>
          <w:sz w:val="20"/>
          <w:u w:val="single"/>
        </w:rPr>
        <w:t>Notice of Conversion</w:t>
      </w:r>
      <w:r>
        <w:rPr>
          <w:rFonts w:ascii="Times New Roman;Times;serif" w:hAnsi="Times New Roman;Times;serif"/>
          <w:color w:val="000000"/>
          <w:sz w:val="20"/>
        </w:rPr>
        <w:t>” shall have the meaning set forth in Section 4(a).</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color w:val="000000"/>
        </w:rPr>
      </w:pPr>
      <w:r>
        <w:rPr>
          <w:color w:val="000000"/>
        </w:rPr>
        <w:t>“</w:t>
      </w:r>
      <w:r>
        <w:rPr>
          <w:rFonts w:ascii="Times New Roman;Times;serif" w:hAnsi="Times New Roman;Times;serif"/>
          <w:color w:val="000000"/>
          <w:sz w:val="20"/>
          <w:u w:val="single"/>
        </w:rPr>
        <w:t>Original Issue Date</w:t>
      </w:r>
      <w:r>
        <w:rPr>
          <w:rFonts w:ascii="Times New Roman;Times;serif" w:hAnsi="Times New Roman;Times;serif"/>
          <w:color w:val="000000"/>
          <w:sz w:val="20"/>
        </w:rPr>
        <w:t>” means the date of the first issuance of the Notes, regardless of any transfers of any Note and regardless of the number of instruments which may be issued to evidence such Notes.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color w:val="000000"/>
        </w:rPr>
      </w:pPr>
      <w:r>
        <w:rPr>
          <w:color w:val="000000"/>
        </w:rPr>
        <w:t>“</w:t>
      </w:r>
      <w:r>
        <w:rPr>
          <w:rFonts w:ascii="Times New Roman;Times;serif" w:hAnsi="Times New Roman;Times;serif"/>
          <w:color w:val="000000"/>
          <w:sz w:val="20"/>
          <w:u w:val="single"/>
        </w:rPr>
        <w:t>Permitted Indebtedness</w:t>
      </w:r>
      <w:r>
        <w:rPr>
          <w:rFonts w:ascii="Times New Roman;Times;serif" w:hAnsi="Times New Roman;Times;serif"/>
          <w:color w:val="000000"/>
          <w:sz w:val="20"/>
        </w:rPr>
        <w:t xml:space="preserve">” means (a) the Indebtedness evidenced by the Notes, (b) the Indebtedness existing on the Original Issue Date and disclosed to the Holder prior to the date hereof (including any Indebtedness set forth in the SEC Reports), (c) capital lease obligations and purchase money indebtedness of up to $500,000, in the aggregate, incurred in connection with the acquisition of capital assets and lease obligations with respect to newly acquired or leased assets (subject, in each case, to the proviso set forth in the definition of GAAP under the Purchase Agreement), (d) other unsecured Indebtedness not exceeding $500,000 in aggregate principal amount outstanding, (e) Indebtedness that (1) is expressly subordinate to the Notes pursuant to a written subordination agreement with the Purchasers that is acceptable to each Purchaser in its reasonable discretion and (2) matures at a date on or after the Maturity Date, (f) other unsecured Indebtedness incurred in the ordinary course of business, (g) any Indebtedness in which the proceeds from such Indebtedness are used to repay the outstanding principal amount of this Note (plus, if applicable, the accrued and unpaid interest thereon and costs, fees and expenses incurred in connection therewith), (h) Indebtedness evidenced by the Existing Notes or any Additional Notes, (i) Indebtedness incurred in the ordinary course of business in connection with any equipment financing or working capital facilities, which is subordinate to the Indebtedness existing or arising under this Note and the other Transaction Documents pursuant to a subordination agreement acceptable to the Agent in its sole discretion, not to exceed $500,000,000 in the aggregate at any time, (j) Indebtedness incurred in the ordinary course of business in respect of netting services, overdraft protections, automatic clearinghouse arrangements, and other cash management and similar arrangements, (k) Indebtedness to carriers, warehousemen, mechanics, and materialmen, in each case arising in the ordinary course of business, for sums not yet due and payable or, if due and payable, those being contested in good faith by appropriate proceedings and for which appropriate reserves are maintained in accordance with GAAP, (l) guaranties by the Company or a Subsidiary of Permitted Indebtedness incurred by the Company or a Subsidiary;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any such guaranty shall be subordinated to the obligations under the Transaction Documents to the same extent and on the same terms and conditions as the Indebtedness guaranteed has been subordinated to the obligations under the Transaction Documents and (m) extensions, refinancings and renewals of any items of Permitted Indebtedness, </w:t>
      </w:r>
      <w:r>
        <w:rPr>
          <w:rFonts w:ascii="Times New Roman;Times;serif" w:hAnsi="Times New Roman;Times;serif"/>
          <w:color w:val="000000"/>
          <w:sz w:val="20"/>
          <w:u w:val="single"/>
        </w:rPr>
        <w:t>provided</w:t>
      </w:r>
      <w:r>
        <w:rPr>
          <w:rFonts w:ascii="Times New Roman;Times;serif" w:hAnsi="Times New Roman;Times;serif"/>
          <w:color w:val="000000"/>
          <w:sz w:val="20"/>
        </w:rPr>
        <w:t> </w:t>
      </w:r>
      <w:r>
        <w:rPr>
          <w:rFonts w:ascii="Times New Roman;Times;serif" w:hAnsi="Times New Roman;Times;serif"/>
          <w:color w:val="000000"/>
          <w:sz w:val="20"/>
          <w:u w:val="single"/>
        </w:rPr>
        <w:t>that</w:t>
      </w:r>
      <w:r>
        <w:rPr>
          <w:rFonts w:ascii="Times New Roman;Times;serif" w:hAnsi="Times New Roman;Times;serif"/>
          <w:color w:val="000000"/>
          <w:sz w:val="20"/>
        </w:rPr>
        <w:t xml:space="preserve"> the principal amount is not increased or the terms modified to impose more burdensome terms upon the Company or its Subsidiary, as the case may be, and subject to any applicable limitations on the aggregate amount of such Permitted Indebtedness.</w:t>
      </w:r>
    </w:p>
    <w:p>
      <w:pPr>
        <w:pStyle w:val="TextBody"/>
        <w:bidi w:val="0"/>
        <w:spacing w:lineRule="auto" w:line="300"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B - 4</w:t>
      </w:r>
    </w:p>
    <w:p>
      <w:pPr>
        <w:pStyle w:val="HorizontalLine"/>
        <w:pBdr>
          <w:bottom w:val="single" w:sz="12" w:space="0" w:color="808080"/>
        </w:pBdr>
        <w:bidi w:val="0"/>
        <w:spacing w:lineRule="auto" w:line="300" w:before="200" w:after="200"/>
        <w:jc w:val="left"/>
        <w:rPr/>
      </w:pPr>
      <w:r>
        <w:rPr/>
      </w:r>
    </w:p>
    <w:p>
      <w:pPr>
        <w:pStyle w:val="TextBody"/>
        <w:bidi w:val="0"/>
        <w:spacing w:lineRule="auto" w:line="300" w:before="0" w:after="0"/>
        <w:ind w:left="720" w:right="0" w:firstLine="720"/>
        <w:jc w:val="both"/>
        <w:rPr>
          <w:color w:val="000000"/>
        </w:rPr>
      </w:pPr>
      <w:r>
        <w:rPr>
          <w:color w:val="000000"/>
        </w:rPr>
        <w:t>“</w:t>
      </w:r>
      <w:r>
        <w:rPr>
          <w:rFonts w:ascii="Times New Roman;Times;serif" w:hAnsi="Times New Roman;Times;serif"/>
          <w:color w:val="000000"/>
          <w:sz w:val="20"/>
          <w:u w:val="single"/>
        </w:rPr>
        <w:t>Permitted Lien</w:t>
      </w:r>
      <w:r>
        <w:rPr>
          <w:rFonts w:ascii="Times New Roman;Times;serif" w:hAnsi="Times New Roman;Times;serif"/>
          <w:color w:val="000000"/>
          <w:sz w:val="20"/>
        </w:rPr>
        <w:t xml:space="preserve">” means the individual and collective reference to the following: (a) Liens for taxes, assessments and other governmental charges or levies not yet due or Liens for taxes, assessments and other governmental charges or levies being contested in good faith and by appropriate proceedings for which adequate reserves (in the good faith judgment of the management of the Company) have been established in accordance with GAAP, (b) Liens imposed by law which were incurred in the ordinary course of the Company’s business, such as carriers’, warehousemen’s and mechanics’ Liens, statutory landlords’ Liens, and other similar Liens arising in the ordinary course of the Company’s business, and which (x) do not individually or in the aggregate materially detract from the value of such property or assets or materially impair the use thereof in the operation of the business of the Company and its consolidated Subsidiaries or (y) are being contested in good faith by appropriate proceedings, which proceedings have the effect of preventing for the foreseeable future the forfeiture or sale of the property or asset subject to such Lien, (c) Liens incurred in connection with Permitted Indebtedness under </w:t>
      </w:r>
      <w:r>
        <w:rPr>
          <w:rFonts w:ascii="Times New Roman;Times;serif" w:hAnsi="Times New Roman;Times;serif"/>
          <w:color w:val="000000"/>
          <w:sz w:val="20"/>
          <w:u w:val="single"/>
        </w:rPr>
        <w:t>clauses (a</w:t>
      </w:r>
      <w:r>
        <w:rPr>
          <w:rFonts w:ascii="Times New Roman;Times;serif" w:hAnsi="Times New Roman;Times;serif"/>
          <w:color w:val="000000"/>
          <w:sz w:val="20"/>
        </w:rPr>
        <w:t>), (</w:t>
      </w:r>
      <w:r>
        <w:rPr>
          <w:rFonts w:ascii="Times New Roman;Times;serif" w:hAnsi="Times New Roman;Times;serif"/>
          <w:color w:val="000000"/>
          <w:sz w:val="20"/>
          <w:u w:val="single"/>
        </w:rPr>
        <w:t>b</w:t>
      </w:r>
      <w:r>
        <w:rPr>
          <w:rFonts w:ascii="Times New Roman;Times;serif" w:hAnsi="Times New Roman;Times;serif"/>
          <w:color w:val="000000"/>
          <w:sz w:val="20"/>
        </w:rPr>
        <w:t>), (</w:t>
      </w:r>
      <w:r>
        <w:rPr>
          <w:rFonts w:ascii="Times New Roman;Times;serif" w:hAnsi="Times New Roman;Times;serif"/>
          <w:color w:val="000000"/>
          <w:sz w:val="20"/>
          <w:u w:val="single"/>
        </w:rPr>
        <w:t>d</w:t>
      </w:r>
      <w:r>
        <w:rPr>
          <w:rFonts w:ascii="Times New Roman;Times;serif" w:hAnsi="Times New Roman;Times;serif"/>
          <w:color w:val="000000"/>
          <w:sz w:val="20"/>
        </w:rPr>
        <w:t>), (</w:t>
      </w:r>
      <w:r>
        <w:rPr>
          <w:rFonts w:ascii="Times New Roman;Times;serif" w:hAnsi="Times New Roman;Times;serif"/>
          <w:color w:val="000000"/>
          <w:sz w:val="20"/>
          <w:u w:val="single"/>
        </w:rPr>
        <w:t>e</w:t>
      </w:r>
      <w:r>
        <w:rPr>
          <w:rFonts w:ascii="Times New Roman;Times;serif" w:hAnsi="Times New Roman;Times;serif"/>
          <w:color w:val="000000"/>
          <w:sz w:val="20"/>
        </w:rPr>
        <w:t>), (</w:t>
      </w:r>
      <w:r>
        <w:rPr>
          <w:rFonts w:ascii="Times New Roman;Times;serif" w:hAnsi="Times New Roman;Times;serif"/>
          <w:color w:val="000000"/>
          <w:sz w:val="20"/>
          <w:u w:val="single"/>
        </w:rPr>
        <w:t>g</w:t>
      </w:r>
      <w:r>
        <w:rPr>
          <w:rFonts w:ascii="Times New Roman;Times;serif" w:hAnsi="Times New Roman;Times;serif"/>
          <w:color w:val="000000"/>
          <w:sz w:val="20"/>
        </w:rPr>
        <w:t>), (</w:t>
      </w:r>
      <w:r>
        <w:rPr>
          <w:rFonts w:ascii="Times New Roman;Times;serif" w:hAnsi="Times New Roman;Times;serif"/>
          <w:color w:val="000000"/>
          <w:sz w:val="20"/>
          <w:u w:val="single"/>
        </w:rPr>
        <w:t>h</w:t>
      </w:r>
      <w:r>
        <w:rPr>
          <w:rFonts w:ascii="Times New Roman;Times;serif" w:hAnsi="Times New Roman;Times;serif"/>
          <w:color w:val="000000"/>
          <w:sz w:val="20"/>
        </w:rPr>
        <w:t>), (</w:t>
      </w:r>
      <w:r>
        <w:rPr>
          <w:rFonts w:ascii="Times New Roman;Times;serif" w:hAnsi="Times New Roman;Times;serif"/>
          <w:color w:val="000000"/>
          <w:sz w:val="20"/>
          <w:u w:val="single"/>
        </w:rPr>
        <w:t>i</w:t>
      </w:r>
      <w:r>
        <w:rPr>
          <w:rFonts w:ascii="Times New Roman;Times;serif" w:hAnsi="Times New Roman;Times;serif"/>
          <w:color w:val="000000"/>
          <w:sz w:val="20"/>
        </w:rPr>
        <w:t>), (</w:t>
      </w:r>
      <w:r>
        <w:rPr>
          <w:rFonts w:ascii="Times New Roman;Times;serif" w:hAnsi="Times New Roman;Times;serif"/>
          <w:color w:val="000000"/>
          <w:sz w:val="20"/>
          <w:u w:val="single"/>
        </w:rPr>
        <w:t>j</w:t>
      </w:r>
      <w:r>
        <w:rPr>
          <w:rFonts w:ascii="Times New Roman;Times;serif" w:hAnsi="Times New Roman;Times;serif"/>
          <w:color w:val="000000"/>
          <w:sz w:val="20"/>
        </w:rPr>
        <w:t>), (</w:t>
      </w:r>
      <w:r>
        <w:rPr>
          <w:rFonts w:ascii="Times New Roman;Times;serif" w:hAnsi="Times New Roman;Times;serif"/>
          <w:color w:val="000000"/>
          <w:sz w:val="20"/>
          <w:u w:val="single"/>
        </w:rPr>
        <w:t>k</w:t>
      </w:r>
      <w:r>
        <w:rPr>
          <w:rFonts w:ascii="Times New Roman;Times;serif" w:hAnsi="Times New Roman;Times;serif"/>
          <w:color w:val="000000"/>
          <w:sz w:val="20"/>
        </w:rPr>
        <w:t>), (</w:t>
      </w:r>
      <w:r>
        <w:rPr>
          <w:rFonts w:ascii="Times New Roman;Times;serif" w:hAnsi="Times New Roman;Times;serif"/>
          <w:color w:val="000000"/>
          <w:sz w:val="20"/>
          <w:u w:val="single"/>
        </w:rPr>
        <w:t>l</w:t>
      </w:r>
      <w:r>
        <w:rPr>
          <w:rFonts w:ascii="Times New Roman;Times;serif" w:hAnsi="Times New Roman;Times;serif"/>
          <w:color w:val="000000"/>
          <w:sz w:val="20"/>
        </w:rPr>
        <w:t>) and (</w:t>
      </w:r>
      <w:r>
        <w:rPr>
          <w:rFonts w:ascii="Times New Roman;Times;serif" w:hAnsi="Times New Roman;Times;serif"/>
          <w:color w:val="000000"/>
          <w:sz w:val="20"/>
          <w:u w:val="single"/>
        </w:rPr>
        <w:t>m</w:t>
      </w:r>
      <w:r>
        <w:rPr>
          <w:rFonts w:ascii="Times New Roman;Times;serif" w:hAnsi="Times New Roman;Times;serif"/>
          <w:color w:val="000000"/>
          <w:sz w:val="20"/>
        </w:rPr>
        <w:t xml:space="preserve">) thereunder, (d) Liens incurred in connection with Permitted Indebtedness under </w:t>
      </w:r>
      <w:r>
        <w:rPr>
          <w:rFonts w:ascii="Times New Roman;Times;serif" w:hAnsi="Times New Roman;Times;serif"/>
          <w:color w:val="000000"/>
          <w:sz w:val="20"/>
          <w:u w:val="single"/>
        </w:rPr>
        <w:t>clause (c</w:t>
      </w:r>
      <w:r>
        <w:rPr>
          <w:rFonts w:ascii="Times New Roman;Times;serif" w:hAnsi="Times New Roman;Times;serif"/>
          <w:color w:val="000000"/>
          <w:sz w:val="20"/>
        </w:rPr>
        <w:t xml:space="preserve">) thereunder, </w:t>
      </w:r>
      <w:r>
        <w:rPr>
          <w:rFonts w:ascii="Times New Roman;Times;serif" w:hAnsi="Times New Roman;Times;serif"/>
          <w:color w:val="000000"/>
          <w:sz w:val="20"/>
          <w:u w:val="single"/>
        </w:rPr>
        <w:t>provided</w:t>
      </w:r>
      <w:r>
        <w:rPr>
          <w:rFonts w:ascii="Times New Roman;Times;serif" w:hAnsi="Times New Roman;Times;serif"/>
          <w:color w:val="000000"/>
          <w:sz w:val="20"/>
        </w:rPr>
        <w:t> </w:t>
      </w:r>
      <w:r>
        <w:rPr>
          <w:rFonts w:ascii="Times New Roman;Times;serif" w:hAnsi="Times New Roman;Times;serif"/>
          <w:color w:val="000000"/>
          <w:sz w:val="20"/>
          <w:u w:val="single"/>
        </w:rPr>
        <w:t>that</w:t>
      </w:r>
      <w:r>
        <w:rPr>
          <w:rFonts w:ascii="Times New Roman;Times;serif" w:hAnsi="Times New Roman;Times;serif"/>
          <w:color w:val="000000"/>
          <w:sz w:val="20"/>
        </w:rPr>
        <w:t xml:space="preserve"> such Liens are not secured by assets of the Company or its Subsidiaries other than the assets so acquired or leased, (e) easements, rights of way, restrictions, minor defects or irregularities in title and other similar Liens, in each case, not interfering in any material respect with the ordinary conduct of the Company’s business, (f) Liens existing on the date hereof and disclosed to the Holder prior to the date hereof (including any Liens set forth in the SEC Reports), (g) Liens arising from judgments, decrees or attachments in circumstances which do not constitute an Event of Default; (h) Liens on deposits under worker’s compensation, unemployment insurance, social security and other similar laws, (i) Liens arising from the filing of any precautionary financing statement on operating leases covering the leased property, to the extent such operating leases are not prohibited under this Note and (j) Liens incurred in connection with the extension, renewal or refinancing of the Indebtedness secured by Liens of the type described in </w:t>
      </w:r>
      <w:r>
        <w:rPr>
          <w:rFonts w:ascii="Times New Roman;Times;serif" w:hAnsi="Times New Roman;Times;serif"/>
          <w:color w:val="000000"/>
          <w:sz w:val="20"/>
          <w:u w:val="single"/>
        </w:rPr>
        <w:t>clause (m</w:t>
      </w:r>
      <w:r>
        <w:rPr>
          <w:rFonts w:ascii="Times New Roman;Times;serif" w:hAnsi="Times New Roman;Times;serif"/>
          <w:color w:val="000000"/>
          <w:sz w:val="20"/>
        </w:rPr>
        <w:t xml:space="preserve">) above, </w:t>
      </w:r>
      <w:r>
        <w:rPr>
          <w:rFonts w:ascii="Times New Roman;Times;serif" w:hAnsi="Times New Roman;Times;serif"/>
          <w:color w:val="000000"/>
          <w:sz w:val="20"/>
          <w:u w:val="single"/>
        </w:rPr>
        <w:t>provided</w:t>
      </w:r>
      <w:r>
        <w:rPr>
          <w:rFonts w:ascii="Times New Roman;Times;serif" w:hAnsi="Times New Roman;Times;serif"/>
          <w:color w:val="000000"/>
          <w:sz w:val="20"/>
        </w:rPr>
        <w:t> </w:t>
      </w:r>
      <w:r>
        <w:rPr>
          <w:rFonts w:ascii="Times New Roman;Times;serif" w:hAnsi="Times New Roman;Times;serif"/>
          <w:color w:val="000000"/>
          <w:sz w:val="20"/>
          <w:u w:val="single"/>
        </w:rPr>
        <w:t>that</w:t>
      </w:r>
      <w:r>
        <w:rPr>
          <w:rFonts w:ascii="Times New Roman;Times;serif" w:hAnsi="Times New Roman;Times;serif"/>
          <w:color w:val="000000"/>
          <w:sz w:val="20"/>
        </w:rPr>
        <w:t xml:space="preserve"> any extension, renewal or replacement Lien shall be limited to the property encumbered by the existing Lien and the principal amount of the indebtedness being extended, renewed or refinanced does not increase.</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color w:val="000000"/>
        </w:rPr>
      </w:pPr>
      <w:r>
        <w:rPr>
          <w:color w:val="000000"/>
        </w:rPr>
        <w:t>“</w:t>
      </w:r>
      <w:r>
        <w:rPr>
          <w:rFonts w:ascii="Times New Roman;Times;serif" w:hAnsi="Times New Roman;Times;serif"/>
          <w:color w:val="000000"/>
          <w:sz w:val="20"/>
          <w:u w:val="single"/>
        </w:rPr>
        <w:t>Purchase Agreement</w:t>
      </w:r>
      <w:r>
        <w:rPr>
          <w:rFonts w:ascii="Times New Roman;Times;serif" w:hAnsi="Times New Roman;Times;serif"/>
          <w:color w:val="000000"/>
          <w:sz w:val="20"/>
        </w:rPr>
        <w:t>” means the Securities Purchase Agreement, dated as of June 30, 2026, among the Company and the original Holders, as amended, modified or supplemented from time to time in accordance with its terms.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color w:val="000000"/>
        </w:rPr>
      </w:pPr>
      <w:r>
        <w:rPr>
          <w:color w:val="000000"/>
        </w:rPr>
        <w:t>“</w:t>
      </w:r>
      <w:r>
        <w:rPr>
          <w:rFonts w:ascii="Times New Roman;Times;serif" w:hAnsi="Times New Roman;Times;serif"/>
          <w:color w:val="000000"/>
          <w:sz w:val="20"/>
          <w:u w:val="single"/>
        </w:rPr>
        <w:t>Share Delivery Date</w:t>
      </w:r>
      <w:r>
        <w:rPr>
          <w:rFonts w:ascii="Times New Roman;Times;serif" w:hAnsi="Times New Roman;Times;serif"/>
          <w:color w:val="000000"/>
          <w:sz w:val="20"/>
        </w:rPr>
        <w:t>” shall have the meaning set forth in Section 4(c)(ii).</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color w:val="000000"/>
        </w:rPr>
      </w:pPr>
      <w:r>
        <w:rPr>
          <w:color w:val="000000"/>
        </w:rPr>
        <w:t>“</w:t>
      </w:r>
      <w:r>
        <w:rPr>
          <w:rFonts w:ascii="Times New Roman;Times;serif" w:hAnsi="Times New Roman;Times;serif"/>
          <w:color w:val="000000"/>
          <w:sz w:val="20"/>
          <w:u w:val="single"/>
        </w:rPr>
        <w:t>Securities Act</w:t>
      </w:r>
      <w:r>
        <w:rPr>
          <w:rFonts w:ascii="Times New Roman;Times;serif" w:hAnsi="Times New Roman;Times;serif"/>
          <w:color w:val="000000"/>
          <w:sz w:val="20"/>
        </w:rPr>
        <w:t>” means the Securities Act of 1933, as amended, and the rules and regulations promulgated thereunder.</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color w:val="000000"/>
        </w:rPr>
      </w:pPr>
      <w:r>
        <w:rPr>
          <w:color w:val="000000"/>
        </w:rPr>
        <w:t>“</w:t>
      </w:r>
      <w:r>
        <w:rPr>
          <w:rFonts w:ascii="Times New Roman;Times;serif" w:hAnsi="Times New Roman;Times;serif"/>
          <w:color w:val="000000"/>
          <w:sz w:val="20"/>
          <w:u w:val="single"/>
        </w:rPr>
        <w:t>Trading Day</w:t>
      </w:r>
      <w:r>
        <w:rPr>
          <w:rFonts w:ascii="Times New Roman;Times;serif" w:hAnsi="Times New Roman;Times;serif"/>
          <w:color w:val="000000"/>
          <w:sz w:val="20"/>
        </w:rPr>
        <w:t>” means a day on which the principal Trading Market is open for trading.</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color w:val="000000"/>
        </w:rPr>
      </w:pPr>
      <w:r>
        <w:rPr>
          <w:color w:val="000000"/>
        </w:rPr>
        <w:t>“</w:t>
      </w:r>
      <w:r>
        <w:rPr>
          <w:rFonts w:ascii="Times New Roman;Times;serif" w:hAnsi="Times New Roman;Times;serif"/>
          <w:color w:val="000000"/>
          <w:sz w:val="20"/>
          <w:u w:val="single"/>
        </w:rPr>
        <w:t>Trading Market</w:t>
      </w:r>
      <w:r>
        <w:rPr>
          <w:rFonts w:ascii="Times New Roman;Times;serif" w:hAnsi="Times New Roman;Times;serif"/>
          <w:color w:val="000000"/>
          <w:sz w:val="20"/>
        </w:rPr>
        <w:t>” means any of the following markets or exchanges on which the Ordinary Shares are listed or quoted for trading on the date in question: the NYSE American, the Nasdaq Capital Market, the Nasdaq Global Market, the Nasdaq Global Select Market, or the New York Stock Exchange (or any successors to any of the foregoing).</w:t>
      </w:r>
    </w:p>
    <w:p>
      <w:pPr>
        <w:pStyle w:val="TextBody"/>
        <w:bidi w:val="0"/>
        <w:spacing w:lineRule="auto" w:line="300" w:before="0" w:after="0"/>
        <w:jc w:val="left"/>
        <w:rPr>
          <w:color w:val="000000"/>
        </w:rPr>
      </w:pPr>
      <w:r>
        <w:rPr>
          <w:color w:val="000000"/>
        </w:rPr>
        <w:t> </w:t>
      </w:r>
    </w:p>
    <w:tbl>
      <w:tblPr>
        <w:tblW w:w="1728" w:type="dxa"/>
        <w:jc w:val="left"/>
        <w:tblInd w:w="0" w:type="dxa"/>
        <w:tblLayout w:type="fixed"/>
        <w:tblCellMar>
          <w:top w:w="0" w:type="dxa"/>
          <w:left w:w="0" w:type="dxa"/>
          <w:bottom w:w="0" w:type="dxa"/>
          <w:right w:w="0" w:type="dxa"/>
        </w:tblCellMar>
      </w:tblPr>
      <w:tblGrid>
        <w:gridCol w:w="38"/>
        <w:gridCol w:w="830"/>
        <w:gridCol w:w="860"/>
      </w:tblGrid>
      <w:tr>
        <w:trPr/>
        <w:tc>
          <w:tcPr>
            <w:tcW w:w="38" w:type="dxa"/>
            <w:tcBorders/>
            <w:vAlign w:val="center"/>
          </w:tcPr>
          <w:p>
            <w:pPr>
              <w:pStyle w:val="TableContents"/>
              <w:bidi w:val="0"/>
              <w:spacing w:before="0" w:after="283"/>
              <w:jc w:val="left"/>
              <w:rPr/>
            </w:pPr>
            <w:r>
              <w:rPr/>
            </w:r>
          </w:p>
        </w:tc>
        <w:tc>
          <w:tcPr>
            <w:tcW w:w="830" w:type="dxa"/>
            <w:tcBorders/>
            <w:vAlign w:val="center"/>
          </w:tcPr>
          <w:p>
            <w:pPr>
              <w:pStyle w:val="TableContents"/>
              <w:bidi w:val="0"/>
              <w:spacing w:before="0" w:after="283"/>
              <w:jc w:val="left"/>
              <w:rPr>
                <w:rFonts w:ascii="Times New Roman;Times;serif" w:hAnsi="Times New Roman;Times;serif"/>
                <w:sz w:val="20"/>
                <w:u w:val="single"/>
              </w:rPr>
            </w:pPr>
            <w:r>
              <w:rPr>
                <w:rFonts w:ascii="Times New Roman;Times;serif" w:hAnsi="Times New Roman;Times;serif"/>
                <w:sz w:val="20"/>
                <w:u w:val="single"/>
              </w:rPr>
              <w:t>Section 2.</w:t>
            </w:r>
          </w:p>
        </w:tc>
        <w:tc>
          <w:tcPr>
            <w:tcW w:w="86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u w:val="single"/>
              </w:rPr>
              <w:t>Payments</w:t>
            </w:r>
            <w:r>
              <w:rPr>
                <w:rFonts w:ascii="Times New Roman;Times;serif" w:hAnsi="Times New Roman;Times;serif"/>
                <w:sz w:val="20"/>
              </w:rPr>
              <w:t>.</w:t>
            </w:r>
          </w:p>
        </w:tc>
      </w:tr>
    </w:tbl>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(a)          </w:t>
      </w:r>
      <w:r>
        <w:rPr>
          <w:rFonts w:ascii="Times New Roman;Times;serif" w:hAnsi="Times New Roman;Times;serif"/>
          <w:color w:val="000000"/>
          <w:sz w:val="20"/>
          <w:u w:val="single"/>
        </w:rPr>
        <w:t>Payment of Interest</w:t>
      </w:r>
      <w:r>
        <w:rPr>
          <w:rFonts w:ascii="Times New Roman;Times;serif" w:hAnsi="Times New Roman;Times;serif"/>
          <w:color w:val="000000"/>
          <w:sz w:val="20"/>
        </w:rPr>
        <w:t>. Subject to the provisions of Section 8(b) hereof, this Note shall initially bear interest at a rate of eight percent (8%) per annum. Except as otherwise set forth in this Note, any interest payable on this Note shall be shall be payable semi</w:t>
        <w:noBreakHyphen/>
        <w:t>annually in arrears on June 30 and December 31 of each year, commencing on  December 31, 2026 (each, an “</w:t>
      </w:r>
      <w:r>
        <w:rPr>
          <w:rFonts w:ascii="Times New Roman;Times;serif" w:hAnsi="Times New Roman;Times;serif"/>
          <w:color w:val="000000"/>
          <w:sz w:val="20"/>
          <w:u w:val="single"/>
        </w:rPr>
        <w:t>Interest Payment Date</w:t>
      </w:r>
      <w:r>
        <w:rPr>
          <w:rFonts w:ascii="Times New Roman;Times;serif" w:hAnsi="Times New Roman;Times;serif"/>
          <w:color w:val="000000"/>
          <w:sz w:val="20"/>
        </w:rPr>
        <w:t>”) (if an Interest Payment Date is not a Business Day, then the payment shall be due on the next succeeding Business Day), in cash (such amount due, the “</w:t>
      </w:r>
      <w:r>
        <w:rPr>
          <w:rFonts w:ascii="Times New Roman;Times;serif" w:hAnsi="Times New Roman;Times;serif"/>
          <w:color w:val="000000"/>
          <w:sz w:val="20"/>
          <w:u w:val="single"/>
        </w:rPr>
        <w:t>Interest Payment Amount</w:t>
      </w:r>
      <w:r>
        <w:rPr>
          <w:rFonts w:ascii="Times New Roman;Times;serif" w:hAnsi="Times New Roman;Times;serif"/>
          <w:color w:val="000000"/>
          <w:sz w:val="20"/>
        </w:rPr>
        <w:t>”). On each Interest Payment Date, the Company may, at its sole election, (i) pay the Interest Payment Amount in cash, or (ii) elect to have such Interest Payment Amount added to the outstanding principal balance of this Note, in which case, such Interest Payment Amount shall thereafter be deemed principal for all purposes hereunder.</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(b)          </w:t>
      </w:r>
      <w:r>
        <w:rPr>
          <w:rFonts w:ascii="Times New Roman;Times;serif" w:hAnsi="Times New Roman;Times;serif"/>
          <w:color w:val="000000"/>
          <w:sz w:val="20"/>
          <w:u w:val="single"/>
        </w:rPr>
        <w:t>Interest Calculations</w:t>
      </w:r>
      <w:r>
        <w:rPr>
          <w:rFonts w:ascii="Times New Roman;Times;serif" w:hAnsi="Times New Roman;Times;serif"/>
          <w:color w:val="000000"/>
          <w:sz w:val="20"/>
        </w:rPr>
        <w:t>. Interest shall be calculated on the basis of a 365 or 366 day year, as applicable, and the actual number of days elapsed, and shall accrue daily commencing on the Original Issue Date until payment in full of the outstanding principal, together with all accrued and unpaid interest, liquidated damages and other amounts which may become due hereunder, has been made.  Interest hereunder will be paid to the Person in whose name this Note is registered on the records of the Company regarding registration and transfers of this Note (the “</w:t>
      </w:r>
      <w:r>
        <w:rPr>
          <w:rFonts w:ascii="Times New Roman;Times;serif" w:hAnsi="Times New Roman;Times;serif"/>
          <w:color w:val="000000"/>
          <w:sz w:val="20"/>
          <w:u w:val="single"/>
        </w:rPr>
        <w:t>Note Register</w:t>
      </w:r>
      <w:r>
        <w:rPr>
          <w:rFonts w:ascii="Times New Roman;Times;serif" w:hAnsi="Times New Roman;Times;serif"/>
          <w:color w:val="000000"/>
          <w:sz w:val="20"/>
        </w:rPr>
        <w:t>”).</w:t>
      </w:r>
    </w:p>
    <w:p>
      <w:pPr>
        <w:pStyle w:val="TextBody"/>
        <w:bidi w:val="0"/>
        <w:spacing w:lineRule="auto" w:line="300"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B - 5</w:t>
      </w:r>
    </w:p>
    <w:p>
      <w:pPr>
        <w:pStyle w:val="HorizontalLine"/>
        <w:pBdr>
          <w:bottom w:val="single" w:sz="12" w:space="0" w:color="808080"/>
        </w:pBdr>
        <w:bidi w:val="0"/>
        <w:spacing w:lineRule="auto" w:line="300" w:before="200" w:after="200"/>
        <w:jc w:val="left"/>
        <w:rPr/>
      </w:pPr>
      <w:r>
        <w:rPr/>
      </w:r>
    </w:p>
    <w:p>
      <w:pPr>
        <w:pStyle w:val="TextBody"/>
        <w:bidi w:val="0"/>
        <w:spacing w:lineRule="auto" w:line="300"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(c)          </w:t>
      </w:r>
      <w:r>
        <w:rPr>
          <w:rFonts w:ascii="Times New Roman;Times;serif" w:hAnsi="Times New Roman;Times;serif"/>
          <w:color w:val="000000"/>
          <w:sz w:val="20"/>
          <w:u w:val="single"/>
        </w:rPr>
        <w:t>Late Fee</w:t>
      </w:r>
      <w:r>
        <w:rPr>
          <w:rFonts w:ascii="Times New Roman;Times;serif" w:hAnsi="Times New Roman;Times;serif"/>
          <w:color w:val="000000"/>
          <w:sz w:val="20"/>
        </w:rPr>
        <w:t>.  All overdue accrued and unpaid interest to be paid hereunder shall entail a late fee at an interest rate equal to the lesser of 15% per annum or the maximum rate permitted by applicable law (the “</w:t>
      </w:r>
      <w:r>
        <w:rPr>
          <w:rFonts w:ascii="Times New Roman;Times;serif" w:hAnsi="Times New Roman;Times;serif"/>
          <w:color w:val="000000"/>
          <w:sz w:val="20"/>
          <w:u w:val="single"/>
        </w:rPr>
        <w:t>Late Fees</w:t>
      </w:r>
      <w:r>
        <w:rPr>
          <w:rFonts w:ascii="Times New Roman;Times;serif" w:hAnsi="Times New Roman;Times;serif"/>
          <w:color w:val="000000"/>
          <w:sz w:val="20"/>
        </w:rPr>
        <w:t>”) which shall accrue daily from the date such interest is due hereunder through and including the date of actual payment in full.</w:t>
      </w:r>
    </w:p>
    <w:p>
      <w:pPr>
        <w:pStyle w:val="TextBody"/>
        <w:bidi w:val="0"/>
        <w:spacing w:lineRule="auto" w:line="300" w:before="0" w:after="0"/>
        <w:jc w:val="left"/>
        <w:rPr>
          <w:color w:val="000000"/>
        </w:rPr>
      </w:pPr>
      <w:r>
        <w:rPr>
          <w:color w:val="000000"/>
        </w:rPr>
        <w:t> </w:t>
      </w:r>
    </w:p>
    <w:tbl>
      <w:tblPr>
        <w:tblW w:w="4218" w:type="dxa"/>
        <w:jc w:val="left"/>
        <w:tblInd w:w="0" w:type="dxa"/>
        <w:tblLayout w:type="fixed"/>
        <w:tblCellMar>
          <w:top w:w="0" w:type="dxa"/>
          <w:left w:w="0" w:type="dxa"/>
          <w:bottom w:w="0" w:type="dxa"/>
          <w:right w:w="0" w:type="dxa"/>
        </w:tblCellMar>
      </w:tblPr>
      <w:tblGrid>
        <w:gridCol w:w="38"/>
        <w:gridCol w:w="830"/>
        <w:gridCol w:w="3350"/>
      </w:tblGrid>
      <w:tr>
        <w:trPr/>
        <w:tc>
          <w:tcPr>
            <w:tcW w:w="38" w:type="dxa"/>
            <w:tcBorders/>
            <w:vAlign w:val="center"/>
          </w:tcPr>
          <w:p>
            <w:pPr>
              <w:pStyle w:val="TableContents"/>
              <w:bidi w:val="0"/>
              <w:spacing w:before="0" w:after="283"/>
              <w:jc w:val="left"/>
              <w:rPr/>
            </w:pPr>
            <w:r>
              <w:rPr/>
            </w:r>
          </w:p>
        </w:tc>
        <w:tc>
          <w:tcPr>
            <w:tcW w:w="830" w:type="dxa"/>
            <w:tcBorders/>
            <w:vAlign w:val="center"/>
          </w:tcPr>
          <w:p>
            <w:pPr>
              <w:pStyle w:val="TableContents"/>
              <w:bidi w:val="0"/>
              <w:spacing w:before="0" w:after="283"/>
              <w:jc w:val="left"/>
              <w:rPr>
                <w:rFonts w:ascii="Times New Roman;Times;serif" w:hAnsi="Times New Roman;Times;serif"/>
                <w:sz w:val="20"/>
                <w:u w:val="single"/>
              </w:rPr>
            </w:pPr>
            <w:r>
              <w:rPr>
                <w:rFonts w:ascii="Times New Roman;Times;serif" w:hAnsi="Times New Roman;Times;serif"/>
                <w:sz w:val="20"/>
                <w:u w:val="single"/>
              </w:rPr>
              <w:t>Section 3.</w:t>
            </w:r>
          </w:p>
        </w:tc>
        <w:tc>
          <w:tcPr>
            <w:tcW w:w="335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u w:val="single"/>
              </w:rPr>
              <w:t>Registration of Transfers and Exchanges</w:t>
            </w:r>
            <w:r>
              <w:rPr>
                <w:rFonts w:ascii="Times New Roman;Times;serif" w:hAnsi="Times New Roman;Times;serif"/>
                <w:sz w:val="20"/>
              </w:rPr>
              <w:t>.</w:t>
            </w:r>
          </w:p>
        </w:tc>
      </w:tr>
    </w:tbl>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810"/>
        <w:jc w:val="both"/>
        <w:rPr>
          <w:rFonts w:ascii="Times New Roman;Times;serif" w:hAnsi="Times New Roman;Times;serif"/>
          <w:color w:val="000000"/>
          <w:sz w:val="20"/>
        </w:rPr>
      </w:pPr>
      <w:r>
        <w:rPr>
          <w:rFonts w:ascii="Times New Roman;Times;serif" w:hAnsi="Times New Roman;Times;serif"/>
          <w:color w:val="000000"/>
          <w:sz w:val="20"/>
        </w:rPr>
        <w:t>(a)          </w:t>
      </w:r>
      <w:r>
        <w:rPr>
          <w:rFonts w:ascii="Times New Roman;Times;serif" w:hAnsi="Times New Roman;Times;serif"/>
          <w:color w:val="000000"/>
          <w:sz w:val="20"/>
          <w:u w:val="single"/>
        </w:rPr>
        <w:t>Different Denominations</w:t>
      </w:r>
      <w:r>
        <w:rPr>
          <w:rFonts w:ascii="Times New Roman;Times;serif" w:hAnsi="Times New Roman;Times;serif"/>
          <w:color w:val="000000"/>
          <w:sz w:val="20"/>
        </w:rPr>
        <w:t>. This Note is exchangeable for an equal aggregate principal amount of Notes of different authorized denominations, as requested by the Holder surrendering the same. No service charge will be payable for such registration of transfer or exchange.</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810"/>
        <w:jc w:val="both"/>
        <w:rPr>
          <w:rFonts w:ascii="Times New Roman;Times;serif" w:hAnsi="Times New Roman;Times;serif"/>
          <w:color w:val="000000"/>
          <w:sz w:val="20"/>
        </w:rPr>
      </w:pPr>
      <w:r>
        <w:rPr>
          <w:rFonts w:ascii="Times New Roman;Times;serif" w:hAnsi="Times New Roman;Times;serif"/>
          <w:color w:val="000000"/>
          <w:sz w:val="20"/>
        </w:rPr>
        <w:t>(b)          </w:t>
      </w:r>
      <w:r>
        <w:rPr>
          <w:rFonts w:ascii="Times New Roman;Times;serif" w:hAnsi="Times New Roman;Times;serif"/>
          <w:color w:val="000000"/>
          <w:sz w:val="20"/>
          <w:u w:val="single"/>
        </w:rPr>
        <w:t>Investment Representations</w:t>
      </w:r>
      <w:r>
        <w:rPr>
          <w:rFonts w:ascii="Times New Roman;Times;serif" w:hAnsi="Times New Roman;Times;serif"/>
          <w:color w:val="000000"/>
          <w:sz w:val="20"/>
        </w:rPr>
        <w:t>. This Note has been issued subject to certain investment representations of the original Holder set forth in the Purchase Agreement and may be transferred or exchanged only in compliance with the Purchase Agreement and applicable federal and state securities laws and regulations.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810"/>
        <w:jc w:val="both"/>
        <w:rPr>
          <w:rFonts w:ascii="Times New Roman;Times;serif" w:hAnsi="Times New Roman;Times;serif"/>
          <w:color w:val="000000"/>
          <w:sz w:val="20"/>
        </w:rPr>
      </w:pPr>
      <w:r>
        <w:rPr>
          <w:rFonts w:ascii="Times New Roman;Times;serif" w:hAnsi="Times New Roman;Times;serif"/>
          <w:color w:val="000000"/>
          <w:sz w:val="20"/>
        </w:rPr>
        <w:t>(c)          </w:t>
      </w:r>
      <w:r>
        <w:rPr>
          <w:rFonts w:ascii="Times New Roman;Times;serif" w:hAnsi="Times New Roman;Times;serif"/>
          <w:color w:val="000000"/>
          <w:sz w:val="20"/>
          <w:u w:val="single"/>
        </w:rPr>
        <w:t>Reliance on Note Register</w:t>
      </w:r>
      <w:r>
        <w:rPr>
          <w:rFonts w:ascii="Times New Roman;Times;serif" w:hAnsi="Times New Roman;Times;serif"/>
          <w:color w:val="000000"/>
          <w:sz w:val="20"/>
        </w:rPr>
        <w:t>. Prior to due presentment for transfer to the Company of this Note, the Company and any agent of the Company may treat the Person in whose name this Note is duly registered on the Note Register as the owner hereof for the purpose of receiving payment as herein provided and for all other purposes, whether or not this Note is overdue, and neither the Company nor any such agent shall be affected by notice to the contrary.</w:t>
      </w:r>
    </w:p>
    <w:p>
      <w:pPr>
        <w:pStyle w:val="TextBody"/>
        <w:bidi w:val="0"/>
        <w:spacing w:lineRule="auto" w:line="300" w:before="0" w:after="0"/>
        <w:jc w:val="left"/>
        <w:rPr>
          <w:color w:val="000000"/>
        </w:rPr>
      </w:pPr>
      <w:r>
        <w:rPr>
          <w:color w:val="000000"/>
        </w:rPr>
        <w:t> </w:t>
      </w:r>
    </w:p>
    <w:tbl>
      <w:tblPr>
        <w:tblW w:w="1893" w:type="dxa"/>
        <w:jc w:val="left"/>
        <w:tblInd w:w="0" w:type="dxa"/>
        <w:tblLayout w:type="fixed"/>
        <w:tblCellMar>
          <w:top w:w="0" w:type="dxa"/>
          <w:left w:w="0" w:type="dxa"/>
          <w:bottom w:w="0" w:type="dxa"/>
          <w:right w:w="0" w:type="dxa"/>
        </w:tblCellMar>
      </w:tblPr>
      <w:tblGrid>
        <w:gridCol w:w="38"/>
        <w:gridCol w:w="830"/>
        <w:gridCol w:w="1025"/>
      </w:tblGrid>
      <w:tr>
        <w:trPr/>
        <w:tc>
          <w:tcPr>
            <w:tcW w:w="38" w:type="dxa"/>
            <w:tcBorders/>
            <w:vAlign w:val="center"/>
          </w:tcPr>
          <w:p>
            <w:pPr>
              <w:pStyle w:val="TableContents"/>
              <w:bidi w:val="0"/>
              <w:spacing w:before="0" w:after="283"/>
              <w:jc w:val="left"/>
              <w:rPr/>
            </w:pPr>
            <w:r>
              <w:rPr/>
            </w:r>
          </w:p>
        </w:tc>
        <w:tc>
          <w:tcPr>
            <w:tcW w:w="830" w:type="dxa"/>
            <w:tcBorders/>
            <w:vAlign w:val="center"/>
          </w:tcPr>
          <w:p>
            <w:pPr>
              <w:pStyle w:val="TableContents"/>
              <w:bidi w:val="0"/>
              <w:spacing w:before="0" w:after="283"/>
              <w:jc w:val="left"/>
              <w:rPr>
                <w:rFonts w:ascii="Times New Roman;Times;serif" w:hAnsi="Times New Roman;Times;serif"/>
                <w:sz w:val="20"/>
                <w:u w:val="single"/>
              </w:rPr>
            </w:pPr>
            <w:r>
              <w:rPr>
                <w:rFonts w:ascii="Times New Roman;Times;serif" w:hAnsi="Times New Roman;Times;serif"/>
                <w:sz w:val="20"/>
                <w:u w:val="single"/>
              </w:rPr>
              <w:t>Section 4.</w:t>
            </w:r>
          </w:p>
        </w:tc>
        <w:tc>
          <w:tcPr>
            <w:tcW w:w="102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u w:val="single"/>
              </w:rPr>
              <w:t>Conversion</w:t>
            </w:r>
            <w:r>
              <w:rPr>
                <w:rFonts w:ascii="Times New Roman;Times;serif" w:hAnsi="Times New Roman;Times;serif"/>
                <w:sz w:val="20"/>
              </w:rPr>
              <w:t>.</w:t>
            </w:r>
          </w:p>
        </w:tc>
      </w:tr>
    </w:tbl>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810"/>
        <w:jc w:val="both"/>
        <w:rPr>
          <w:rFonts w:ascii="Times New Roman;Times;serif" w:hAnsi="Times New Roman;Times;serif"/>
          <w:color w:val="000000"/>
          <w:sz w:val="20"/>
        </w:rPr>
      </w:pPr>
      <w:r>
        <w:rPr>
          <w:rFonts w:ascii="Times New Roman;Times;serif" w:hAnsi="Times New Roman;Times;serif"/>
          <w:color w:val="000000"/>
          <w:sz w:val="20"/>
        </w:rPr>
        <w:t>(a)          </w:t>
      </w:r>
      <w:r>
        <w:rPr>
          <w:rFonts w:ascii="Times New Roman;Times;serif" w:hAnsi="Times New Roman;Times;serif"/>
          <w:color w:val="000000"/>
          <w:sz w:val="20"/>
          <w:u w:val="single"/>
        </w:rPr>
        <w:t>Voluntary Conversion</w:t>
      </w:r>
      <w:r>
        <w:rPr>
          <w:rFonts w:ascii="Times New Roman;Times;serif" w:hAnsi="Times New Roman;Times;serif"/>
          <w:color w:val="000000"/>
          <w:sz w:val="20"/>
        </w:rPr>
        <w:t xml:space="preserve">. At any time after the Original Issue Date until this Note is no longer outstanding, this Note, and at the sole option of the Holder, all accrued and unpaid interest thereon, shall be convertible, in whole or in part, into Ordinary Shares at the option of the Holder, at any time and from time to time (subject to the conversion limitations set forth in Section 4(d)). The Holder shall effect conversions by delivering to the Company a Notice of Conversion, the form of which is attached hereto as </w:t>
      </w:r>
      <w:r>
        <w:rPr>
          <w:rFonts w:ascii="Times New Roman;Times;serif" w:hAnsi="Times New Roman;Times;serif"/>
          <w:color w:val="000000"/>
          <w:sz w:val="20"/>
          <w:u w:val="single"/>
        </w:rPr>
        <w:t>Annex A</w:t>
      </w:r>
      <w:r>
        <w:rPr>
          <w:rFonts w:ascii="Times New Roman;Times;serif" w:hAnsi="Times New Roman;Times;serif"/>
          <w:color w:val="000000"/>
          <w:sz w:val="20"/>
        </w:rPr>
        <w:t xml:space="preserve"> (each, a “</w:t>
      </w:r>
      <w:r>
        <w:rPr>
          <w:rFonts w:ascii="Times New Roman;Times;serif" w:hAnsi="Times New Roman;Times;serif"/>
          <w:color w:val="000000"/>
          <w:sz w:val="20"/>
          <w:u w:val="single"/>
        </w:rPr>
        <w:t>Notice of Conversion</w:t>
      </w:r>
      <w:r>
        <w:rPr>
          <w:rFonts w:ascii="Times New Roman;Times;serif" w:hAnsi="Times New Roman;Times;serif"/>
          <w:color w:val="000000"/>
          <w:sz w:val="20"/>
        </w:rPr>
        <w:t xml:space="preserve">”), specifying therein the principal amount of this Note, </w:t>
      </w:r>
      <w:r>
        <w:rPr>
          <w:rFonts w:ascii="Times New Roman;Times;serif" w:hAnsi="Times New Roman;Times;serif"/>
          <w:i/>
          <w:color w:val="000000"/>
          <w:sz w:val="20"/>
        </w:rPr>
        <w:t>plus</w:t>
      </w:r>
      <w:r>
        <w:rPr>
          <w:rFonts w:ascii="Times New Roman;Times;serif" w:hAnsi="Times New Roman;Times;serif"/>
          <w:color w:val="000000"/>
          <w:sz w:val="20"/>
        </w:rPr>
        <w:t>, at the option of the Holder, any accrued and unpaid interest thereon to be converted, and the date on which such conversion shall be effected (such date, the “</w:t>
      </w:r>
      <w:r>
        <w:rPr>
          <w:rFonts w:ascii="Times New Roman;Times;serif" w:hAnsi="Times New Roman;Times;serif"/>
          <w:color w:val="000000"/>
          <w:sz w:val="20"/>
          <w:u w:val="single"/>
        </w:rPr>
        <w:t>Conversion Date</w:t>
      </w:r>
      <w:r>
        <w:rPr>
          <w:rFonts w:ascii="Times New Roman;Times;serif" w:hAnsi="Times New Roman;Times;serif"/>
          <w:color w:val="000000"/>
          <w:sz w:val="20"/>
        </w:rPr>
        <w:t xml:space="preserve">”). If no Conversion Date is specified in a Notice of Conversion, the Conversion Date shall be the date that such Notice of Conversion is deemed delivered hereunder. No ink-original Notice of Conversion shall be required, nor shall any medallion guarantee (or other type of guarantee or notarization) of any Notice of Conversion form be required. To effect conversions hereunder, the Holder shall not be required to physically surrender this Note to the Company unless the entire principal amount of this Note, </w:t>
      </w:r>
      <w:r>
        <w:rPr>
          <w:rFonts w:ascii="Times New Roman;Times;serif" w:hAnsi="Times New Roman;Times;serif"/>
          <w:i/>
          <w:color w:val="000000"/>
          <w:sz w:val="20"/>
        </w:rPr>
        <w:t>plus</w:t>
      </w:r>
      <w:r>
        <w:rPr>
          <w:rFonts w:ascii="Times New Roman;Times;serif" w:hAnsi="Times New Roman;Times;serif"/>
          <w:color w:val="000000"/>
          <w:sz w:val="20"/>
        </w:rPr>
        <w:t xml:space="preserve"> all accrued and unpaid interest thereon, has been so converted in which case the Holder shall surrender this Note as promptly as is reasonably practicable after such conversion without delaying the Company’s obligation to deliver the shares on the Share Delivery Date. Conversions hereunder shall have the effect of lowering the outstanding principal amount of this Note (</w:t>
      </w:r>
      <w:r>
        <w:rPr>
          <w:rFonts w:ascii="Times New Roman;Times;serif" w:hAnsi="Times New Roman;Times;serif"/>
          <w:i/>
          <w:color w:val="000000"/>
          <w:sz w:val="20"/>
        </w:rPr>
        <w:t>plus</w:t>
      </w:r>
      <w:r>
        <w:rPr>
          <w:rFonts w:ascii="Times New Roman;Times;serif" w:hAnsi="Times New Roman;Times;serif"/>
          <w:color w:val="000000"/>
          <w:sz w:val="20"/>
        </w:rPr>
        <w:t>, if applicable, any accrued and unpaid interest thereon) in an amount equal to the applicable conversion. The Holder and the Company shall maintain records showing the principal amount(s) (</w:t>
      </w:r>
      <w:r>
        <w:rPr>
          <w:rFonts w:ascii="Times New Roman;Times;serif" w:hAnsi="Times New Roman;Times;serif"/>
          <w:i/>
          <w:color w:val="000000"/>
          <w:sz w:val="20"/>
        </w:rPr>
        <w:t>plus</w:t>
      </w:r>
      <w:r>
        <w:rPr>
          <w:rFonts w:ascii="Times New Roman;Times;serif" w:hAnsi="Times New Roman;Times;serif"/>
          <w:color w:val="000000"/>
          <w:sz w:val="20"/>
        </w:rPr>
        <w:t xml:space="preserve">, if applicable, any accrued and unpaid interest thereon) converted and the date of such conversion(s). The Company may deliver an objection to any Notice of Conversion within one (1) Business Day of delivery of such Notice of Conversion. In the event of any dispute or discrepancy, the records of the Holder shall be controlling and determinative in the absence of manifest error. </w:t>
      </w:r>
      <w:r>
        <w:rPr>
          <w:rFonts w:ascii="Times New Roman;Times;serif" w:hAnsi="Times New Roman;Times;serif"/>
          <w:b/>
          <w:color w:val="000000"/>
          <w:sz w:val="20"/>
        </w:rPr>
        <w:t>The Holder</w:t>
      </w:r>
      <w:r>
        <w:rPr>
          <w:rFonts w:ascii="Times New Roman;Times;serif" w:hAnsi="Times New Roman;Times;serif"/>
          <w:color w:val="000000"/>
          <w:sz w:val="20"/>
        </w:rPr>
        <w:t xml:space="preserve">, </w:t>
      </w:r>
      <w:r>
        <w:rPr>
          <w:rFonts w:ascii="Times New Roman;Times;serif" w:hAnsi="Times New Roman;Times;serif"/>
          <w:b/>
          <w:color w:val="000000"/>
          <w:sz w:val="20"/>
        </w:rPr>
        <w:t>and any assignee by acceptance of this Note</w:t>
      </w:r>
      <w:r>
        <w:rPr>
          <w:rFonts w:ascii="Times New Roman;Times;serif" w:hAnsi="Times New Roman;Times;serif"/>
          <w:color w:val="000000"/>
          <w:sz w:val="20"/>
        </w:rPr>
        <w:t xml:space="preserve">, </w:t>
      </w:r>
      <w:r>
        <w:rPr>
          <w:rFonts w:ascii="Times New Roman;Times;serif" w:hAnsi="Times New Roman;Times;serif"/>
          <w:b/>
          <w:color w:val="000000"/>
          <w:sz w:val="20"/>
        </w:rPr>
        <w:t>acknowledge and agree that</w:t>
      </w:r>
      <w:r>
        <w:rPr>
          <w:rFonts w:ascii="Times New Roman;Times;serif" w:hAnsi="Times New Roman;Times;serif"/>
          <w:color w:val="000000"/>
          <w:sz w:val="20"/>
        </w:rPr>
        <w:t xml:space="preserve">, </w:t>
      </w:r>
      <w:r>
        <w:rPr>
          <w:rFonts w:ascii="Times New Roman;Times;serif" w:hAnsi="Times New Roman;Times;serif"/>
          <w:b/>
          <w:color w:val="000000"/>
          <w:sz w:val="20"/>
        </w:rPr>
        <w:t>by reason of the provisions of this paragraph</w:t>
      </w:r>
      <w:r>
        <w:rPr>
          <w:rFonts w:ascii="Times New Roman;Times;serif" w:hAnsi="Times New Roman;Times;serif"/>
          <w:color w:val="000000"/>
          <w:sz w:val="20"/>
        </w:rPr>
        <w:t xml:space="preserve">, </w:t>
      </w:r>
      <w:r>
        <w:rPr>
          <w:rFonts w:ascii="Times New Roman;Times;serif" w:hAnsi="Times New Roman;Times;serif"/>
          <w:b/>
          <w:color w:val="000000"/>
          <w:sz w:val="20"/>
        </w:rPr>
        <w:t>following conversion of a portion of this Note</w:t>
      </w:r>
      <w:r>
        <w:rPr>
          <w:rFonts w:ascii="Times New Roman;Times;serif" w:hAnsi="Times New Roman;Times;serif"/>
          <w:color w:val="000000"/>
          <w:sz w:val="20"/>
        </w:rPr>
        <w:t xml:space="preserve">, </w:t>
      </w:r>
      <w:r>
        <w:rPr>
          <w:rFonts w:ascii="Times New Roman;Times;serif" w:hAnsi="Times New Roman;Times;serif"/>
          <w:b/>
          <w:color w:val="000000"/>
          <w:sz w:val="20"/>
        </w:rPr>
        <w:t>the unpaid and unconverted principal amount of this Note may be less than the amount stated on the face hereof</w:t>
      </w:r>
      <w:r>
        <w:rPr>
          <w:rFonts w:ascii="Times New Roman;Times;serif" w:hAnsi="Times New Roman;Times;serif"/>
          <w:color w:val="000000"/>
          <w:sz w:val="20"/>
        </w:rPr>
        <w:t>.</w:t>
      </w:r>
    </w:p>
    <w:p>
      <w:pPr>
        <w:pStyle w:val="TextBody"/>
        <w:bidi w:val="0"/>
        <w:spacing w:lineRule="auto" w:line="300"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B - 6</w:t>
      </w:r>
    </w:p>
    <w:p>
      <w:pPr>
        <w:pStyle w:val="HorizontalLine"/>
        <w:pBdr>
          <w:bottom w:val="single" w:sz="12" w:space="0" w:color="808080"/>
        </w:pBdr>
        <w:bidi w:val="0"/>
        <w:spacing w:lineRule="auto" w:line="300" w:before="200" w:after="200"/>
        <w:jc w:val="left"/>
        <w:rPr/>
      </w:pPr>
      <w:r>
        <w:rPr/>
      </w:r>
    </w:p>
    <w:p>
      <w:pPr>
        <w:pStyle w:val="TextBody"/>
        <w:bidi w:val="0"/>
        <w:spacing w:lineRule="auto" w:line="300" w:before="0" w:after="0"/>
        <w:ind w:left="720" w:right="0" w:firstLine="810"/>
        <w:jc w:val="both"/>
        <w:rPr>
          <w:rFonts w:ascii="Times New Roman;Times;serif" w:hAnsi="Times New Roman;Times;serif"/>
          <w:color w:val="000000"/>
          <w:sz w:val="20"/>
        </w:rPr>
      </w:pPr>
      <w:r>
        <w:rPr>
          <w:rFonts w:ascii="Times New Roman;Times;serif" w:hAnsi="Times New Roman;Times;serif"/>
          <w:color w:val="000000"/>
          <w:sz w:val="20"/>
        </w:rPr>
        <w:t>(b)          </w:t>
      </w:r>
      <w:r>
        <w:rPr>
          <w:rFonts w:ascii="Times New Roman;Times;serif" w:hAnsi="Times New Roman;Times;serif"/>
          <w:color w:val="000000"/>
          <w:sz w:val="20"/>
          <w:u w:val="single"/>
        </w:rPr>
        <w:t>Conversion Price</w:t>
      </w:r>
      <w:r>
        <w:rPr>
          <w:rFonts w:ascii="Times New Roman;Times;serif" w:hAnsi="Times New Roman;Times;serif"/>
          <w:color w:val="000000"/>
          <w:sz w:val="20"/>
        </w:rPr>
        <w:t>.  The conversion price in effect on any Conversion Date shall be equal to $5.40, subject to adjustment as provided herein (the “</w:t>
      </w:r>
      <w:r>
        <w:rPr>
          <w:rFonts w:ascii="Times New Roman;Times;serif" w:hAnsi="Times New Roman;Times;serif"/>
          <w:color w:val="000000"/>
          <w:sz w:val="20"/>
          <w:u w:val="single"/>
        </w:rPr>
        <w:t>Conversion Price</w:t>
      </w:r>
      <w:r>
        <w:rPr>
          <w:rFonts w:ascii="Times New Roman;Times;serif" w:hAnsi="Times New Roman;Times;serif"/>
          <w:color w:val="000000"/>
          <w:sz w:val="20"/>
        </w:rPr>
        <w:t>”).</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810"/>
        <w:jc w:val="both"/>
        <w:rPr>
          <w:rFonts w:ascii="Times New Roman;Times;serif" w:hAnsi="Times New Roman;Times;serif"/>
          <w:color w:val="000000"/>
          <w:sz w:val="20"/>
        </w:rPr>
      </w:pPr>
      <w:r>
        <w:rPr>
          <w:rFonts w:ascii="Times New Roman;Times;serif" w:hAnsi="Times New Roman;Times;serif"/>
          <w:color w:val="000000"/>
          <w:sz w:val="20"/>
        </w:rPr>
        <w:t>(c)          </w:t>
      </w:r>
      <w:r>
        <w:rPr>
          <w:rFonts w:ascii="Times New Roman;Times;serif" w:hAnsi="Times New Roman;Times;serif"/>
          <w:color w:val="000000"/>
          <w:sz w:val="20"/>
          <w:u w:val="single"/>
        </w:rPr>
        <w:t>Mechanics of Conversion</w:t>
      </w:r>
      <w:r>
        <w:rPr>
          <w:rFonts w:ascii="Times New Roman;Times;serif" w:hAnsi="Times New Roman;Times;serif"/>
          <w:color w:val="000000"/>
          <w:sz w:val="20"/>
        </w:rPr>
        <w:t>.</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1440" w:right="0" w:firstLine="720"/>
        <w:jc w:val="both"/>
        <w:rPr>
          <w:rFonts w:ascii="Times New Roman;Times;serif" w:hAnsi="Times New Roman;Times;serif"/>
          <w:color w:val="000000"/>
          <w:sz w:val="20"/>
        </w:rPr>
      </w:pPr>
      <w:r>
        <w:rPr>
          <w:rFonts w:ascii="Times New Roman;Times;serif" w:hAnsi="Times New Roman;Times;serif"/>
          <w:color w:val="000000"/>
          <w:sz w:val="20"/>
        </w:rPr>
        <w:t>(i)          </w:t>
      </w:r>
      <w:r>
        <w:rPr>
          <w:rFonts w:ascii="Times New Roman;Times;serif" w:hAnsi="Times New Roman;Times;serif"/>
          <w:color w:val="000000"/>
          <w:sz w:val="20"/>
          <w:u w:val="single"/>
        </w:rPr>
        <w:t>Conversion Shares Issuable Upon Conversion</w:t>
      </w:r>
      <w:r>
        <w:rPr>
          <w:rFonts w:ascii="Times New Roman;Times;serif" w:hAnsi="Times New Roman;Times;serif"/>
          <w:color w:val="000000"/>
          <w:sz w:val="20"/>
        </w:rPr>
        <w:t xml:space="preserve">. The number of Conversion Shares issuable upon a conversion hereunder shall be determined by the quotient obtained by dividing (x) the outstanding principal amount of this Note to be converted </w:t>
      </w:r>
      <w:r>
        <w:rPr>
          <w:rFonts w:ascii="Times New Roman;Times;serif" w:hAnsi="Times New Roman;Times;serif"/>
          <w:i/>
          <w:color w:val="000000"/>
          <w:sz w:val="20"/>
        </w:rPr>
        <w:t>plus</w:t>
      </w:r>
      <w:r>
        <w:rPr>
          <w:rFonts w:ascii="Times New Roman;Times;serif" w:hAnsi="Times New Roman;Times;serif"/>
          <w:color w:val="000000"/>
          <w:sz w:val="20"/>
        </w:rPr>
        <w:t>, at the option of the Holder, all accrued and unpaid interest thereon (the “</w:t>
      </w:r>
      <w:r>
        <w:rPr>
          <w:rFonts w:ascii="Times New Roman;Times;serif" w:hAnsi="Times New Roman;Times;serif"/>
          <w:color w:val="000000"/>
          <w:sz w:val="20"/>
          <w:u w:val="single"/>
        </w:rPr>
        <w:t>Conversion Amount</w:t>
      </w:r>
      <w:r>
        <w:rPr>
          <w:rFonts w:ascii="Times New Roman;Times;serif" w:hAnsi="Times New Roman;Times;serif"/>
          <w:color w:val="000000"/>
          <w:sz w:val="20"/>
        </w:rPr>
        <w:t>”) by (y) the Conversion Price.</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1440" w:right="0" w:firstLine="720"/>
        <w:jc w:val="both"/>
        <w:rPr>
          <w:rFonts w:ascii="Times New Roman;Times;serif" w:hAnsi="Times New Roman;Times;serif"/>
          <w:color w:val="000000"/>
          <w:sz w:val="20"/>
        </w:rPr>
      </w:pPr>
      <w:r>
        <w:rPr>
          <w:rFonts w:ascii="Times New Roman;Times;serif" w:hAnsi="Times New Roman;Times;serif"/>
          <w:color w:val="000000"/>
          <w:sz w:val="20"/>
        </w:rPr>
        <w:t>(ii)          </w:t>
      </w:r>
      <w:r>
        <w:rPr>
          <w:rFonts w:ascii="Times New Roman;Times;serif" w:hAnsi="Times New Roman;Times;serif"/>
          <w:color w:val="000000"/>
          <w:sz w:val="20"/>
          <w:u w:val="single"/>
        </w:rPr>
        <w:t>Delivery of Conversion Shares Upon Conversion</w:t>
      </w:r>
      <w:r>
        <w:rPr>
          <w:rFonts w:ascii="Times New Roman;Times;serif" w:hAnsi="Times New Roman;Times;serif"/>
          <w:color w:val="000000"/>
          <w:sz w:val="20"/>
        </w:rPr>
        <w:t>. Not later than the earlier of (i) one (1) Trading Day and (ii) the number of Trading Days comprising the Standard Settlement Period (as defined below) after each Conversion Date (the “</w:t>
      </w:r>
      <w:r>
        <w:rPr>
          <w:rFonts w:ascii="Times New Roman;Times;serif" w:hAnsi="Times New Roman;Times;serif"/>
          <w:color w:val="000000"/>
          <w:sz w:val="20"/>
          <w:u w:val="single"/>
        </w:rPr>
        <w:t>Share Delivery Date</w:t>
      </w:r>
      <w:r>
        <w:rPr>
          <w:rFonts w:ascii="Times New Roman;Times;serif" w:hAnsi="Times New Roman;Times;serif"/>
          <w:color w:val="000000"/>
          <w:sz w:val="20"/>
        </w:rPr>
        <w:t xml:space="preserve">”), the Company shall deliver, or cause to be delivered, to the Holder (A) a certificate or book entry statement representing the Conversion Shares to be acquired upon conversion of this Note, which, following the Legend Removal Date, shall be free of restrictive legends and trading restrictions (other than those which may then be required by the Purchase Agreement) and (B) </w:t>
      </w:r>
      <w:r>
        <w:rPr>
          <w:rFonts w:ascii="Times New Roman;Times;serif" w:hAnsi="Times New Roman;Times;serif"/>
          <w:i/>
          <w:color w:val="000000"/>
          <w:sz w:val="20"/>
        </w:rPr>
        <w:t>plus</w:t>
      </w:r>
      <w:r>
        <w:rPr>
          <w:rFonts w:ascii="Times New Roman;Times;serif" w:hAnsi="Times New Roman;Times;serif"/>
          <w:color w:val="000000"/>
          <w:sz w:val="20"/>
        </w:rPr>
        <w:t xml:space="preserve">, if the Holder has not elected to include accrued and unpaid interest in the Conversion Amount pursuant to Section 4(c)(i) above, a certified check (or wire transfer) in the amount of such accrued and unpaid interest. Except in the case of any certificate or book entry statement bearing a restrictive legend, all Conversion Shares required to be delivered by the Company under this </w:t>
      </w:r>
      <w:r>
        <w:rPr>
          <w:rFonts w:ascii="Times New Roman;Times;serif" w:hAnsi="Times New Roman;Times;serif"/>
          <w:color w:val="000000"/>
          <w:sz w:val="20"/>
          <w:u w:val="single"/>
        </w:rPr>
        <w:t>Section 4(c)</w:t>
      </w:r>
      <w:r>
        <w:rPr>
          <w:rFonts w:ascii="Times New Roman;Times;serif" w:hAnsi="Times New Roman;Times;serif"/>
          <w:color w:val="000000"/>
          <w:sz w:val="20"/>
        </w:rPr>
        <w:t xml:space="preserve"> shall be delivered electronically through the Depository Trust Company or another established clearing corporation performing similar functions. If the Conversion Date is prior to the Legend Removal Date, then the Conversion Shares shall bear a restrictive legend in the following form, as appropriate:</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hanging="0"/>
        <w:jc w:val="both"/>
        <w:rPr>
          <w:color w:val="000000"/>
        </w:rPr>
      </w:pPr>
      <w:r>
        <w:rPr>
          <w:color w:val="000000"/>
        </w:rPr>
        <w:t>“</w:t>
      </w:r>
      <w:r>
        <w:rPr>
          <w:rFonts w:ascii="Times New Roman;Times;serif" w:hAnsi="Times New Roman;Times;serif"/>
          <w:color w:val="000000"/>
          <w:sz w:val="20"/>
        </w:rPr>
        <w:t>THE ISSUANCE AND SALE OF THE SECURITIES REPRESENTED BY THIS CERTIFICATE HAS NOT BEEN REGISTERED UNDER THE SECURITIES ACT OF 1933, AS AMENDED, OR APPLICABLE STATE SECURITIES LAWS. THE SECURITIES MAY NOT BE OFFERED FOR SALE, SOLD, TRANSFERRED OR ASSIGNED (I) IN THE ABSENCE OF (A) AN EFFECTIVE REGISTRATION STATEMENT FOR THE SECURITIES UNDER THE SECURITIES ACT OF 1933, AS AMENDED, OR (B) AN OPINION OF COUNSEL (WHICH COUNSEL SHALL BE SELECTED BY THE HOLDER), IN A GENERALLY ACCEPTABLE FORM, THAT REGISTRATION IS NOT REQUIRED UNDER SAID ACT OR (II) UNLESS SOLD PURSUANT TO RULE 144 OR RULE 144A UNDER SAID ACT. NOTWITHSTANDING THE FOREGOING, THE SECURITIES MAY BE PLEDGED IN CONNECTION WITH A BONA FIDE MARGIN ACCOUNT OR OTHER LOAN OR FINANCING ARRANGEMENT SECURED BY THE SECURITIES.”</w:t>
      </w:r>
    </w:p>
    <w:p>
      <w:pPr>
        <w:pStyle w:val="TextBody"/>
        <w:bidi w:val="0"/>
        <w:spacing w:lineRule="auto" w:line="300"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B - 7</w:t>
      </w:r>
    </w:p>
    <w:p>
      <w:pPr>
        <w:pStyle w:val="HorizontalLine"/>
        <w:pBdr>
          <w:bottom w:val="single" w:sz="12" w:space="0" w:color="808080"/>
        </w:pBdr>
        <w:bidi w:val="0"/>
        <w:spacing w:lineRule="auto" w:line="300" w:before="200" w:after="200"/>
        <w:jc w:val="left"/>
        <w:rPr/>
      </w:pPr>
      <w:r>
        <w:rPr/>
      </w:r>
    </w:p>
    <w:p>
      <w:pPr>
        <w:pStyle w:val="TextBody"/>
        <w:bidi w:val="0"/>
        <w:spacing w:lineRule="auto" w:line="300" w:before="0" w:after="0"/>
        <w:ind w:left="810" w:right="0" w:firstLine="630"/>
        <w:jc w:val="both"/>
        <w:rPr>
          <w:rFonts w:ascii="Times New Roman;Times;serif" w:hAnsi="Times New Roman;Times;serif"/>
          <w:color w:val="000000"/>
          <w:sz w:val="20"/>
        </w:rPr>
      </w:pPr>
      <w:r>
        <w:rPr>
          <w:rFonts w:ascii="Times New Roman;Times;serif" w:hAnsi="Times New Roman;Times;serif"/>
          <w:color w:val="000000"/>
          <w:sz w:val="20"/>
        </w:rPr>
        <w:t>As used herein, “</w:t>
      </w:r>
      <w:r>
        <w:rPr>
          <w:rFonts w:ascii="Times New Roman;Times;serif" w:hAnsi="Times New Roman;Times;serif"/>
          <w:color w:val="000000"/>
          <w:sz w:val="20"/>
          <w:u w:val="single"/>
        </w:rPr>
        <w:t>Standard Settlement Period</w:t>
      </w:r>
      <w:r>
        <w:rPr>
          <w:rFonts w:ascii="Times New Roman;Times;serif" w:hAnsi="Times New Roman;Times;serif"/>
          <w:color w:val="000000"/>
          <w:sz w:val="20"/>
        </w:rPr>
        <w:t>” means the standard settlement period, expressed in a number of Trading Days, on the Company’s primary Trading Market with respect to the Ordinary Shares as in effect on the date of delivery of the Notice of Conversion.</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1440" w:right="0" w:firstLine="720"/>
        <w:jc w:val="both"/>
        <w:rPr>
          <w:rFonts w:ascii="Times New Roman;Times;serif" w:hAnsi="Times New Roman;Times;serif"/>
          <w:color w:val="000000"/>
          <w:sz w:val="20"/>
        </w:rPr>
      </w:pPr>
      <w:r>
        <w:rPr>
          <w:rFonts w:ascii="Times New Roman;Times;serif" w:hAnsi="Times New Roman;Times;serif"/>
          <w:color w:val="000000"/>
          <w:sz w:val="20"/>
        </w:rPr>
        <w:t>(iii)          </w:t>
      </w:r>
      <w:r>
        <w:rPr>
          <w:rFonts w:ascii="Times New Roman;Times;serif" w:hAnsi="Times New Roman;Times;serif"/>
          <w:color w:val="000000"/>
          <w:sz w:val="20"/>
          <w:u w:val="single"/>
        </w:rPr>
        <w:t>Failure to Deliver Conversion Shares</w:t>
      </w:r>
      <w:r>
        <w:rPr>
          <w:rFonts w:ascii="Times New Roman;Times;serif" w:hAnsi="Times New Roman;Times;serif"/>
          <w:color w:val="000000"/>
          <w:sz w:val="20"/>
        </w:rPr>
        <w:t>.  If, in the case of any Notice of Conversion, such Conversion Shares are not delivered to or as directed by the applicable Holder by the Share Delivery Date, the Holder shall be entitled to elect by written notice to the Company at any time on or before its receipt of such Conversion Shares, to rescind such conversion, in which event the Company shall promptly return to the Holder any original Note delivered to the Company and the Holder shall promptly return to the Company the Conversion Shares issued to such Holder pursuant to the rescinded Conversion Notice.</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1440" w:right="0" w:firstLine="720"/>
        <w:jc w:val="both"/>
        <w:rPr>
          <w:rFonts w:ascii="Times New Roman;Times;serif" w:hAnsi="Times New Roman;Times;serif"/>
          <w:color w:val="000000"/>
          <w:sz w:val="20"/>
        </w:rPr>
      </w:pPr>
      <w:r>
        <w:rPr>
          <w:rFonts w:ascii="Times New Roman;Times;serif" w:hAnsi="Times New Roman;Times;serif"/>
          <w:color w:val="000000"/>
          <w:sz w:val="20"/>
        </w:rPr>
        <w:t>(iv)          </w:t>
      </w:r>
      <w:r>
        <w:rPr>
          <w:rFonts w:ascii="Times New Roman;Times;serif" w:hAnsi="Times New Roman;Times;serif"/>
          <w:color w:val="000000"/>
          <w:sz w:val="20"/>
          <w:u w:val="single"/>
        </w:rPr>
        <w:t>Obligation Absolute</w:t>
      </w:r>
      <w:r>
        <w:rPr>
          <w:rFonts w:ascii="Times New Roman;Times;serif" w:hAnsi="Times New Roman;Times;serif"/>
          <w:color w:val="000000"/>
          <w:sz w:val="20"/>
        </w:rPr>
        <w:t xml:space="preserve">.  The Company’s obligations to issue and deliver the Conversion Shares upon conversion of this Note in accordance with the terms hereof are absolute and unconditional, irrespective of any action or inaction by the Holder to enforce the same, any waiver or consent with respect to any provision hereof, the recovery of any judgment against any Person or any action to enforce the same, or any setoff, counterclaim, recoupment, limitation or termination, or any breach or alleged breach by the Holder or any other Person of any obligation to the Company or any violation or alleged violation of law by the Holder or any other Person, and irrespective of any other circumstance which might otherwise limit such obligation of the Company to the Holder in connection with the issuance of such Conversion Shares;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however</w:t>
      </w:r>
      <w:r>
        <w:rPr>
          <w:rFonts w:ascii="Times New Roman;Times;serif" w:hAnsi="Times New Roman;Times;serif"/>
          <w:color w:val="000000"/>
          <w:sz w:val="20"/>
        </w:rPr>
        <w:t>, that such delivery shall not operate as a waiver by the Company of any such action the Company may have against the Holder.  In the event the Holder of this Note shall elect to convert any or all of the outstanding principal amount hereof (</w:t>
      </w:r>
      <w:r>
        <w:rPr>
          <w:rFonts w:ascii="Times New Roman;Times;serif" w:hAnsi="Times New Roman;Times;serif"/>
          <w:i/>
          <w:color w:val="000000"/>
          <w:sz w:val="20"/>
        </w:rPr>
        <w:t>plus</w:t>
      </w:r>
      <w:r>
        <w:rPr>
          <w:rFonts w:ascii="Times New Roman;Times;serif" w:hAnsi="Times New Roman;Times;serif"/>
          <w:color w:val="000000"/>
          <w:sz w:val="20"/>
        </w:rPr>
        <w:t xml:space="preserve">, if applicable, any accrued and unpaid interest thereon), the Company may not refuse conversion based on any claim that the Holder or anyone associated or affiliated with the Holder has been engaged in any violation of law, agreement or for any other reason, unless an injunction from a court, on notice to Holder, restraining and or enjoining conversion of all or part of this Note shall have been sought and obtained, and the Company posts a surety bond for the benefit of the Holder in the amount of 150% of the outstanding principal amount of this Note, which is subject to the injunction, which bond shall remain in effect until the completion of arbitration/litigation of the underlying dispute and the proceeds of which shall be payable to the Holder to the extent it obtains judgment.  In the absence of such injunction, the Company shall issue Conversion Shares required to be delivered hereunder in accordance with the terms hereof or, if applicable, cash, upon a properly noticed conversion. If the Company fails for any reason to deliver to the Holder such certificate or book entry statement pursuant to Section 4(c)(ii) by the Share Delivery Date, the Company shall pay to the Holder, in cash, as liquidated damages and not as a penalty, for each $1,000 of principal amount being converted, $10 per Trading Day (increasing to $20 per Trading Day on the fifth (5th) Trading Day after such liquidated damages begin to accrue) for each Trading Day after such Share Delivery Date until such certificates are delivered or Holder rescinds such conversion. Nothing herein shall limit a Holder’s right to pursue actual damages or declare an Event of Default pursuant to </w:t>
      </w:r>
      <w:r>
        <w:rPr>
          <w:rFonts w:ascii="Times New Roman;Times;serif" w:hAnsi="Times New Roman;Times;serif"/>
          <w:color w:val="000000"/>
          <w:sz w:val="20"/>
          <w:u w:val="single"/>
        </w:rPr>
        <w:t>Section 8</w:t>
      </w:r>
      <w:r>
        <w:rPr>
          <w:rFonts w:ascii="Times New Roman;Times;serif" w:hAnsi="Times New Roman;Times;serif"/>
          <w:color w:val="000000"/>
          <w:sz w:val="20"/>
        </w:rPr>
        <w:t xml:space="preserve"> for the Company’s failure to deliver Conversion Shares within the period specified herein and the Holder shall have the right to pursue all remedies available to it hereunder, at law or in equity including, without limitation, a decree of specific performance and/or injunctive relief.  The exercise of any such rights shall not prohibit the Holder from seeking to enforce damages pursuant to any other Section hereof or under applicable law.</w:t>
      </w:r>
    </w:p>
    <w:p>
      <w:pPr>
        <w:pStyle w:val="TextBody"/>
        <w:bidi w:val="0"/>
        <w:spacing w:lineRule="auto" w:line="300"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B - 8</w:t>
      </w:r>
    </w:p>
    <w:p>
      <w:pPr>
        <w:pStyle w:val="HorizontalLine"/>
        <w:pBdr>
          <w:bottom w:val="single" w:sz="12" w:space="0" w:color="808080"/>
        </w:pBdr>
        <w:bidi w:val="0"/>
        <w:spacing w:lineRule="auto" w:line="300" w:before="200" w:after="200"/>
        <w:jc w:val="left"/>
        <w:rPr/>
      </w:pPr>
      <w:r>
        <w:rPr/>
      </w:r>
    </w:p>
    <w:p>
      <w:pPr>
        <w:pStyle w:val="TextBody"/>
        <w:bidi w:val="0"/>
        <w:spacing w:lineRule="auto" w:line="300" w:before="0" w:after="0"/>
        <w:ind w:left="1440" w:right="0" w:firstLine="720"/>
        <w:jc w:val="both"/>
        <w:rPr>
          <w:rFonts w:ascii="Times New Roman;Times;serif" w:hAnsi="Times New Roman;Times;serif"/>
          <w:color w:val="000000"/>
          <w:sz w:val="20"/>
        </w:rPr>
      </w:pPr>
      <w:r>
        <w:rPr>
          <w:rFonts w:ascii="Times New Roman;Times;serif" w:hAnsi="Times New Roman;Times;serif"/>
          <w:color w:val="000000"/>
          <w:sz w:val="20"/>
        </w:rPr>
        <w:t>(v)          </w:t>
      </w:r>
      <w:r>
        <w:rPr>
          <w:rFonts w:ascii="Times New Roman;Times;serif" w:hAnsi="Times New Roman;Times;serif"/>
          <w:color w:val="000000"/>
          <w:sz w:val="20"/>
          <w:u w:val="single"/>
        </w:rPr>
        <w:t>Compensation for Buy-In on Failure to Timely Deliver Conversion Shares Upon Conversion</w:t>
      </w:r>
      <w:r>
        <w:rPr>
          <w:rFonts w:ascii="Times New Roman;Times;serif" w:hAnsi="Times New Roman;Times;serif"/>
          <w:color w:val="000000"/>
          <w:sz w:val="20"/>
        </w:rPr>
        <w:t xml:space="preserve">. In addition to any other rights available to the Holder, if the Company fails for any reason to deliver to the Holder such Conversion Shares by the Share Delivery Date pursuant to </w:t>
      </w:r>
      <w:r>
        <w:rPr>
          <w:rFonts w:ascii="Times New Roman;Times;serif" w:hAnsi="Times New Roman;Times;serif"/>
          <w:color w:val="000000"/>
          <w:sz w:val="20"/>
          <w:u w:val="single"/>
        </w:rPr>
        <w:t>Section 4(c)(ii)</w:t>
      </w:r>
      <w:r>
        <w:rPr>
          <w:rFonts w:ascii="Times New Roman;Times;serif" w:hAnsi="Times New Roman;Times;serif"/>
          <w:color w:val="000000"/>
          <w:sz w:val="20"/>
        </w:rPr>
        <w:t>, and if after such Share Delivery Date the Holder is required by its brokerage firm to purchase (in an open market transaction or otherwise), or the Holder’s brokerage firm otherwise purchases, Ordinary Shares to deliver in satisfaction of a sale by the Holder of the Conversion Shares which the Holder was entitled to receive upon the conversion relating to such Share Delivery Date (a “</w:t>
      </w:r>
      <w:r>
        <w:rPr>
          <w:rFonts w:ascii="Times New Roman;Times;serif" w:hAnsi="Times New Roman;Times;serif"/>
          <w:color w:val="000000"/>
          <w:sz w:val="20"/>
          <w:u w:val="single"/>
        </w:rPr>
        <w:t>Buy-In</w:t>
      </w:r>
      <w:r>
        <w:rPr>
          <w:rFonts w:ascii="Times New Roman;Times;serif" w:hAnsi="Times New Roman;Times;serif"/>
          <w:color w:val="000000"/>
          <w:sz w:val="20"/>
        </w:rPr>
        <w:t>”), then the Company shall (A) pay in cash to the Holder (in addition to any other remedies available to or elected by the Holder) the amount, if any, by which (x) the Holder’s total purchase price (including any brokerage commissions) for the Ordinary Shares so purchased exceeds (y) the product of (1) the aggregate number of Ordinary Shares that the Holder was entitled to receive from the conversion at issue multiplied by (2) the actual sale price at which the sell order giving rise to such purchase obligation was executed (including any brokerage commissions) and (B) at the option of the Holder, either reissue (if surrendered) this Note in a principal amount equal to the principal amount (</w:t>
      </w:r>
      <w:r>
        <w:rPr>
          <w:rFonts w:ascii="Times New Roman;Times;serif" w:hAnsi="Times New Roman;Times;serif"/>
          <w:i/>
          <w:color w:val="000000"/>
          <w:sz w:val="20"/>
        </w:rPr>
        <w:t>plus</w:t>
      </w:r>
      <w:r>
        <w:rPr>
          <w:rFonts w:ascii="Times New Roman;Times;serif" w:hAnsi="Times New Roman;Times;serif"/>
          <w:color w:val="000000"/>
          <w:sz w:val="20"/>
        </w:rPr>
        <w:t xml:space="preserve">, if applicable, any accrued and unpaid interest thereon) of the attempted conversion (in which case such conversion shall be deemed rescinded) or deliver to the Holder the number of Ordinary Shares that would have been issued if the Company had timely complied with its delivery requirements under </w:t>
      </w:r>
      <w:r>
        <w:rPr>
          <w:rFonts w:ascii="Times New Roman;Times;serif" w:hAnsi="Times New Roman;Times;serif"/>
          <w:color w:val="000000"/>
          <w:sz w:val="20"/>
          <w:u w:val="single"/>
        </w:rPr>
        <w:t>Section 4(c)(ii)</w:t>
      </w:r>
      <w:r>
        <w:rPr>
          <w:rFonts w:ascii="Times New Roman;Times;serif" w:hAnsi="Times New Roman;Times;serif"/>
          <w:color w:val="000000"/>
          <w:sz w:val="20"/>
        </w:rPr>
        <w:t>.  For example, if the Holder purchases Ordinary Shares having a total purchase price of $11,000 to cover a Buy-In with respect to an attempted conversion of this Note with respect to which the actual sale price of the Conversion Shares (including any brokerage commissions) giving rise to such purchase obligation was a total of $10,000 under clause (A) of the immediately preceding sentence, the Company shall be required to pay the Holder $1,000.  The Holder shall provide the Company written notice indicating the amounts payable to the Holder in respect of the Buy-In and, upon request of the Company, evidence of the amount of such loss.  Nothing herein shall limit a Holder’s right to pursue any other remedies available to it hereunder, at law or in equity including, without limitation, a decree of specific performance and/or injunctive relief with respect to the Company’s failure to timely deliver Conversion Shares upon conversion of this Note as required pursuant to the terms hereof.</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1440" w:right="0" w:firstLine="720"/>
        <w:jc w:val="both"/>
        <w:rPr>
          <w:rFonts w:ascii="Times New Roman;Times;serif" w:hAnsi="Times New Roman;Times;serif"/>
          <w:color w:val="000000"/>
          <w:sz w:val="20"/>
        </w:rPr>
      </w:pPr>
      <w:r>
        <w:rPr>
          <w:rFonts w:ascii="Times New Roman;Times;serif" w:hAnsi="Times New Roman;Times;serif"/>
          <w:color w:val="000000"/>
          <w:sz w:val="20"/>
        </w:rPr>
        <w:t>(vi)          </w:t>
      </w:r>
      <w:r>
        <w:rPr>
          <w:rFonts w:ascii="Times New Roman;Times;serif" w:hAnsi="Times New Roman;Times;serif"/>
          <w:color w:val="000000"/>
          <w:sz w:val="20"/>
          <w:u w:val="single"/>
        </w:rPr>
        <w:t>Reservation of Shares Issuable Upon Conversion</w:t>
      </w:r>
      <w:r>
        <w:rPr>
          <w:rFonts w:ascii="Times New Roman;Times;serif" w:hAnsi="Times New Roman;Times;serif"/>
          <w:color w:val="000000"/>
          <w:sz w:val="20"/>
        </w:rPr>
        <w:t>. The Company covenants that it will at all times reserve and keep available out of its authorized and unissued Ordinary Shares for the sole purpose of issuance upon conversion of this Note, each as herein provided, free from preemptive rights or any other actual contingent purchase rights of Persons other than the Holder (and the other holders of the Notes), not less than 100% of such aggregate number of Ordinary Shares as shall (subject to the terms and conditions set forth in the Purchase Agreement) be issuable (taking into account the adjustments and restrictions of Section 5) upon the conversion of the then outstanding principal amount of this Note (</w:t>
      </w:r>
      <w:r>
        <w:rPr>
          <w:rFonts w:ascii="Times New Roman;Times;serif" w:hAnsi="Times New Roman;Times;serif"/>
          <w:i/>
          <w:color w:val="000000"/>
          <w:sz w:val="20"/>
        </w:rPr>
        <w:t>plus</w:t>
      </w:r>
      <w:r>
        <w:rPr>
          <w:rFonts w:ascii="Times New Roman;Times;serif" w:hAnsi="Times New Roman;Times;serif"/>
          <w:color w:val="000000"/>
          <w:sz w:val="20"/>
        </w:rPr>
        <w:t>, if applicable, any accrued and unpaid interest thereon) at the Conversion Price then in effect (the “</w:t>
      </w:r>
      <w:r>
        <w:rPr>
          <w:rFonts w:ascii="Times New Roman;Times;serif" w:hAnsi="Times New Roman;Times;serif"/>
          <w:color w:val="000000"/>
          <w:sz w:val="20"/>
          <w:u w:val="single"/>
        </w:rPr>
        <w:t>Required Reserve Amount</w:t>
      </w:r>
      <w:r>
        <w:rPr>
          <w:rFonts w:ascii="Times New Roman;Times;serif" w:hAnsi="Times New Roman;Times;serif"/>
          <w:color w:val="000000"/>
          <w:sz w:val="20"/>
        </w:rPr>
        <w:t>”).  The Company covenants that all Ordinary Shares that shall be so issuable shall, upon issue, be duly authorized, validly issued, fully paid and nonassessable. If, notwithstanding this Section 4(c)(vi), and not in limitation thereof, at any time while any of the Notes remain outstanding, the Company does not have a sufficient number of authorized and unreserved Ordinary Shares to satisfy its obligation to reserve the Required Reserve Amount (an “</w:t>
      </w:r>
      <w:r>
        <w:rPr>
          <w:rFonts w:ascii="Times New Roman;Times;serif" w:hAnsi="Times New Roman;Times;serif"/>
          <w:color w:val="000000"/>
          <w:sz w:val="20"/>
          <w:u w:val="single"/>
        </w:rPr>
        <w:t>Authorized Share Failure</w:t>
      </w:r>
      <w:r>
        <w:rPr>
          <w:rFonts w:ascii="Times New Roman;Times;serif" w:hAnsi="Times New Roman;Times;serif"/>
          <w:color w:val="000000"/>
          <w:sz w:val="20"/>
        </w:rPr>
        <w:t>”), then the Company shall immediately take all action necessary to increase the Company’s authorized Ordinary Shares to an amount sufficient to allow the Company to reserve the Required Reserve Amount for all the Notes then outstanding.  Without limiting the generality of the foregoing sentence, as soon as practicable after the date of the occurrence of an Authorized Share Failure, but in no event later than sixty (60) days after the occurrence of such Authorized Share Failure, the Company shall hold a meeting of its shareholders for the approval of an increase in the number of authorized Ordinary Shares. In connection with such meeting, the Company shall provide each shareholder with a proxy statement and shall use its best efforts to solicit its shareholders’ approval of such increase in authorized Ordinary Shares and to cause its board of directors to recommend to the shareholders that they approve such proposal. Notwithstanding the foregoing, if any such time of an Authorized Share Failure, the Company is able to obtain the written consent of a majority of the shares of its issued and outstanding Ordinary Shares to approve the increase in the number of authorized Ordinary Shares, the Company may satisfy this obligation by obtaining such consent and submitting for filing with the SEC an Information Statement on Schedule 14C.</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1440" w:right="0" w:firstLine="720"/>
        <w:jc w:val="both"/>
        <w:rPr>
          <w:rFonts w:ascii="Times New Roman;Times;serif" w:hAnsi="Times New Roman;Times;serif"/>
          <w:color w:val="000000"/>
          <w:sz w:val="20"/>
        </w:rPr>
      </w:pPr>
      <w:r>
        <w:rPr>
          <w:rFonts w:ascii="Times New Roman;Times;serif" w:hAnsi="Times New Roman;Times;serif"/>
          <w:color w:val="000000"/>
          <w:sz w:val="20"/>
        </w:rPr>
        <w:t>(vii)          </w:t>
      </w:r>
      <w:r>
        <w:rPr>
          <w:rFonts w:ascii="Times New Roman;Times;serif" w:hAnsi="Times New Roman;Times;serif"/>
          <w:color w:val="000000"/>
          <w:sz w:val="20"/>
          <w:u w:val="single"/>
        </w:rPr>
        <w:t>Fractional Shares</w:t>
      </w:r>
      <w:r>
        <w:rPr>
          <w:rFonts w:ascii="Times New Roman;Times;serif" w:hAnsi="Times New Roman;Times;serif"/>
          <w:color w:val="000000"/>
          <w:sz w:val="20"/>
        </w:rPr>
        <w:t>. No fractional shares or scrip representing fractional shares shall be issued upon the conversion of this Note.  As to any fraction of a share which the Holder would otherwise be entitled to purchase upon such conversion, the Company shall at its election, either pay a cash adjustment in respect of such final fraction in an amount equal to such fraction multiplied by the Conversion Price or round down to the next whole share.</w:t>
      </w:r>
    </w:p>
    <w:p>
      <w:pPr>
        <w:pStyle w:val="TextBody"/>
        <w:bidi w:val="0"/>
        <w:spacing w:lineRule="auto" w:line="300"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B - 9</w:t>
      </w:r>
    </w:p>
    <w:p>
      <w:pPr>
        <w:pStyle w:val="HorizontalLine"/>
        <w:pBdr>
          <w:bottom w:val="single" w:sz="12" w:space="0" w:color="808080"/>
        </w:pBdr>
        <w:bidi w:val="0"/>
        <w:spacing w:lineRule="auto" w:line="300" w:before="200" w:after="200"/>
        <w:jc w:val="left"/>
        <w:rPr/>
      </w:pPr>
      <w:r>
        <w:rPr/>
      </w:r>
    </w:p>
    <w:p>
      <w:pPr>
        <w:pStyle w:val="TextBody"/>
        <w:bidi w:val="0"/>
        <w:spacing w:lineRule="auto" w:line="300" w:before="0" w:after="0"/>
        <w:ind w:left="1440" w:right="0" w:firstLine="720"/>
        <w:jc w:val="both"/>
        <w:rPr>
          <w:rFonts w:ascii="Times New Roman;Times;serif" w:hAnsi="Times New Roman;Times;serif"/>
          <w:color w:val="000000"/>
          <w:sz w:val="20"/>
        </w:rPr>
      </w:pPr>
      <w:r>
        <w:rPr>
          <w:rFonts w:ascii="Times New Roman;Times;serif" w:hAnsi="Times New Roman;Times;serif"/>
          <w:color w:val="000000"/>
          <w:sz w:val="20"/>
        </w:rPr>
        <w:t>(viii)          </w:t>
      </w:r>
      <w:r>
        <w:rPr>
          <w:rFonts w:ascii="Times New Roman;Times;serif" w:hAnsi="Times New Roman;Times;serif"/>
          <w:color w:val="000000"/>
          <w:sz w:val="20"/>
          <w:u w:val="single"/>
        </w:rPr>
        <w:t>Transfer Taxes and Expenses</w:t>
      </w:r>
      <w:r>
        <w:rPr>
          <w:rFonts w:ascii="Times New Roman;Times;serif" w:hAnsi="Times New Roman;Times;serif"/>
          <w:color w:val="000000"/>
          <w:sz w:val="20"/>
        </w:rPr>
        <w:t>.  The issuance of Conversion Shares on conversion of this Note shall be made without charge to the Holder hereof for any documentary stamp or similar taxes that may be payable in respect of the issue or delivery of such Conversion Shares, provided that the Company shall not be required to pay any tax that may be payable in respect of any transfer involved in the issuance and delivery of any such Conversion Shares upon conversion in a name other than that of the Holder of this Note so converted and the Company shall not be required to issue or deliver such Conversion Shares unless or until the Person or Persons requesting the issuance thereof shall have paid to the Company the amount of such tax or shall have established to the satisfaction of the Company that such tax has been paid.  The Company shall pay all Transfer Agent fees required for same-day processing of any Notice of Conversion and all fees to the Depository Trust Company (or another established clearing corporation performing similar functions) required for same-day electronic delivery of the Conversion Shares.</w:t>
      </w:r>
    </w:p>
    <w:p>
      <w:pPr>
        <w:pStyle w:val="TextBody"/>
        <w:bidi w:val="0"/>
        <w:spacing w:lineRule="auto" w:line="300" w:before="0" w:after="0"/>
        <w:jc w:val="left"/>
        <w:rPr>
          <w:color w:val="000000"/>
        </w:rPr>
      </w:pPr>
      <w:r>
        <w:rPr>
          <w:color w:val="000000"/>
        </w:rPr>
        <w:t> </w:t>
      </w:r>
    </w:p>
    <w:p>
      <w:pPr>
        <w:pStyle w:val="TextBody"/>
        <w:bidi w:val="0"/>
        <w:spacing w:lineRule="auto" w:line="240"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(d)          </w:t>
      </w:r>
      <w:r>
        <w:rPr>
          <w:rFonts w:ascii="Times New Roman;Times;serif" w:hAnsi="Times New Roman;Times;serif"/>
          <w:color w:val="000000"/>
          <w:sz w:val="20"/>
          <w:u w:val="single"/>
        </w:rPr>
        <w:t>Holder’s Conversion Limitations</w:t>
      </w:r>
      <w:r>
        <w:rPr>
          <w:rFonts w:ascii="Times New Roman;Times;serif" w:hAnsi="Times New Roman;Times;serif"/>
          <w:color w:val="000000"/>
          <w:sz w:val="20"/>
        </w:rPr>
        <w:t>.  The Company shall not effect any conversion of this Note, and a Holder shall not have the right to convert any portion of this Note, to the extent that after giving effect to the conversion set forth on the applicable Notice of Conversion, the Holder (together with the Holder’s Affiliates, and any other Persons acting as a group together with the Holder or any of the Holder’s Affiliates (such Persons, “</w:t>
      </w:r>
      <w:r>
        <w:rPr>
          <w:rFonts w:ascii="Times New Roman;Times;serif" w:hAnsi="Times New Roman;Times;serif"/>
          <w:color w:val="000000"/>
          <w:sz w:val="20"/>
          <w:u w:val="single"/>
        </w:rPr>
        <w:t>Attribution Parties</w:t>
      </w:r>
      <w:r>
        <w:rPr>
          <w:rFonts w:ascii="Times New Roman;Times;serif" w:hAnsi="Times New Roman;Times;serif"/>
          <w:color w:val="000000"/>
          <w:sz w:val="20"/>
        </w:rPr>
        <w:t>”)) would beneficially own in excess of the Beneficial Ownership Limitation (as defined below).  For purposes of the foregoing sentence, the number of Ordinary Shares beneficially owned by the Holder and its Affiliates and Attribution Parties shall include the number of Ordinary Shares issuable upon conversion of this Note with respect to which such determination is being made, but shall exclude the number of Ordinary Shares which would be issuable upon (i) conversion of the remaining, unconverted principal amount of this Note (</w:t>
      </w:r>
      <w:r>
        <w:rPr>
          <w:rFonts w:ascii="Times New Roman;Times;serif" w:hAnsi="Times New Roman;Times;serif"/>
          <w:i/>
          <w:color w:val="000000"/>
          <w:sz w:val="20"/>
        </w:rPr>
        <w:t>plus</w:t>
      </w:r>
      <w:r>
        <w:rPr>
          <w:rFonts w:ascii="Times New Roman;Times;serif" w:hAnsi="Times New Roman;Times;serif"/>
          <w:color w:val="000000"/>
          <w:sz w:val="20"/>
        </w:rPr>
        <w:t>, if applicable, any accrued and unpaid interest thereon) beneficially owned by the Holder or any of its Affiliates or Attribution Parties and (ii) exercise or conversion of the unexercised or unconverted portion of any other securities of the Company subject to a limitation on conversion or exercise analogous to the limitation contained herein (including, without limitation, any Additional Notes, the Initial Warrants or any Additional Warrants) beneficially owned by the Holder or any of its Affiliates or Attribution Parties.  Except as set forth in the preceding sentence, for purposes of this Section 4(d), beneficial ownership shall be calculated in accordance with Section 13(d) of the Exchange Act and the rules and regulations promulgated thereunder.  To the extent that the limitation contained in this Section 4(d) applies, the determination of whether this Note is convertible (in relation to other securities owned by the Holder together with any Affiliates and Attribution Parties) and of which principal amount (</w:t>
      </w:r>
      <w:r>
        <w:rPr>
          <w:rFonts w:ascii="Times New Roman;Times;serif" w:hAnsi="Times New Roman;Times;serif"/>
          <w:i/>
          <w:color w:val="000000"/>
          <w:sz w:val="20"/>
        </w:rPr>
        <w:t>plus</w:t>
      </w:r>
      <w:r>
        <w:rPr>
          <w:rFonts w:ascii="Times New Roman;Times;serif" w:hAnsi="Times New Roman;Times;serif"/>
          <w:color w:val="000000"/>
          <w:sz w:val="20"/>
        </w:rPr>
        <w:t>, if applicable, any accrued and unpaid interest thereon) of this Note is convertible shall be in the sole discretion of the Holder, and the submission of a Notice of Conversion shall be deemed to be the Holder’s determination of whether this Note may be converted (in relation to other securities owned by the Holder together with any Affiliates or Attribution Parties) and which principal amount (</w:t>
      </w:r>
      <w:r>
        <w:rPr>
          <w:rFonts w:ascii="Times New Roman;Times;serif" w:hAnsi="Times New Roman;Times;serif"/>
          <w:i/>
          <w:color w:val="000000"/>
          <w:sz w:val="20"/>
        </w:rPr>
        <w:t>plus</w:t>
      </w:r>
      <w:r>
        <w:rPr>
          <w:rFonts w:ascii="Times New Roman;Times;serif" w:hAnsi="Times New Roman;Times;serif"/>
          <w:color w:val="000000"/>
          <w:sz w:val="20"/>
        </w:rPr>
        <w:t>, if applicable, any accrued and unpaid interest thereon) of this Note is convertible, in each case subject to the Beneficial Ownership Limitation, and the Company shall have no obligation to verify or confirm the accuracy of such determination.  In addition, a determination as to any group status as contemplated above shall be determined in accordance with Section 13(d) of the Exchange Act and the rules and regulations promulgated thereunder.   For purposes of this Section 4(d), in determining the number of outstanding Ordinary Shares, the Holder may rely on the number of Ordinary Shares as reflected in (A) the Company’s most recent periodic or annual report filed with the Commission, as the case may be, (B) a more recent public announcement by the Company, or (C) a more recent written notice by the Company or the Transfer Agent setting forth the number of Ordinary Shares outstanding.  Upon the written or oral request of a Holder, the Company shall within one Trading Day confirm orally and in writing to the Holder the number of Ordinary Shares then outstanding.  In any case, the number of outstanding Ordinary Shares shall be determined after giving effect to the conversion or exercise of securities of the Company, including this Note, any Additional Notes, and the Initial Warrants and any Additional Warrants, by the Holder or its Affiliates or Attribution Parties since the date as of which such number of outstanding Ordinary Shares was reported. The “</w:t>
      </w:r>
      <w:r>
        <w:rPr>
          <w:rFonts w:ascii="Times New Roman;Times;serif" w:hAnsi="Times New Roman;Times;serif"/>
          <w:color w:val="000000"/>
          <w:sz w:val="20"/>
          <w:u w:val="single"/>
        </w:rPr>
        <w:t>Beneficial Ownership Limitation</w:t>
      </w:r>
      <w:r>
        <w:rPr>
          <w:rFonts w:ascii="Times New Roman;Times;serif" w:hAnsi="Times New Roman;Times;serif"/>
          <w:color w:val="000000"/>
          <w:sz w:val="20"/>
        </w:rPr>
        <w:t>” shall be 4.99% of the number of Ordinary Shares outstanding immediately after giving effect to the issuance of Ordinary Shares issuable upon conversion of this Note.  The Holder, upon notice to the Company, may increase or decrease the Beneficial Ownership Limitation provisions of this Section 2(e), provided that the Beneficial Ownership Limitation in no event exceeds 4.99% of the number of Ordinary Shares outstanding immediately after giving effect to the issuance of Ordinary Shares upon conversion of this Note held by the Holder and the provisions of this Section 4(d) shall continue to apply; provided that (i) any such increase in the Beneficial Ownership Limitation will not be effective until the sixty-first (61st) day after such notice is delivered to the Company, and (ii) any such increase or decrease will apply only to the Holder and the other Attribution Parties and not to any other holder of Notes that is not an Attribution Party of the Holder. The Beneficial Ownership Limitation provisions of this paragraph shall be construed and implemented in a manner otherwise than in strict conformity with the terms of this Section 4(d) to correct this paragraph (or any portion hereof) which may be defective or inconsistent with the intended Beneficial Ownership Limitation contained herein or to make changes or supplements necessary or desirable to properly give effect to such limitation. The limitations contained in this paragraph shall apply to a successor holder of this Note.</w:t>
      </w:r>
    </w:p>
    <w:p>
      <w:pPr>
        <w:pStyle w:val="TextBody"/>
        <w:bidi w:val="0"/>
        <w:spacing w:lineRule="auto" w:line="300"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B - 10</w:t>
      </w:r>
    </w:p>
    <w:p>
      <w:pPr>
        <w:pStyle w:val="HorizontalLine"/>
        <w:pBdr>
          <w:bottom w:val="single" w:sz="12" w:space="0" w:color="808080"/>
        </w:pBdr>
        <w:bidi w:val="0"/>
        <w:spacing w:lineRule="auto" w:line="300" w:before="200" w:after="200"/>
        <w:jc w:val="left"/>
        <w:rPr/>
      </w:pPr>
      <w:r>
        <w:rPr/>
      </w:r>
    </w:p>
    <w:p>
      <w:pPr>
        <w:pStyle w:val="TextBody"/>
        <w:bidi w:val="0"/>
        <w:spacing w:lineRule="auto" w:line="300"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(e)          </w:t>
      </w:r>
      <w:r>
        <w:rPr>
          <w:rFonts w:ascii="Times New Roman;Times;serif" w:hAnsi="Times New Roman;Times;serif"/>
          <w:color w:val="000000"/>
          <w:sz w:val="20"/>
          <w:u w:val="single"/>
        </w:rPr>
        <w:t>Principal Market Regulation</w:t>
      </w:r>
      <w:r>
        <w:rPr>
          <w:rFonts w:ascii="Times New Roman;Times;serif" w:hAnsi="Times New Roman;Times;serif"/>
          <w:color w:val="000000"/>
          <w:sz w:val="20"/>
        </w:rPr>
        <w:t>. The Company shall not issue any Ordinary Shares upon conversion of this Note or otherwise pursuant to the terms of this Note, or upon exercise of the Warrants held by the Holder, if the issuance of such Ordinary Shares would exceed the aggregate number of Ordinary Shares which the Company may issue upon conversion of all Notes or otherwise pursuant to the terms of all Notes (as the case may be), or upon exercise of all Warrants, in each case, issued pursuant to the Purchase Agreement, without breaching the Company’s obligations under the rules or regulations of the Nasdaq Capital Market.(the “</w:t>
      </w:r>
      <w:r>
        <w:rPr>
          <w:rFonts w:ascii="Times New Roman;Times;serif" w:hAnsi="Times New Roman;Times;serif"/>
          <w:color w:val="000000"/>
          <w:sz w:val="20"/>
          <w:u w:val="single"/>
        </w:rPr>
        <w:t>Principal Market</w:t>
      </w:r>
      <w:r>
        <w:rPr>
          <w:rFonts w:ascii="Times New Roman;Times;serif" w:hAnsi="Times New Roman;Times;serif"/>
          <w:color w:val="000000"/>
          <w:sz w:val="20"/>
        </w:rPr>
        <w:t>”) (the number of Ordinary Shares which may be issued without violating such rules and regulations, including rules related to the aggregation of offerings under NASDAQ Listing Rule 5635(d), the “</w:t>
      </w:r>
      <w:r>
        <w:rPr>
          <w:rFonts w:ascii="Times New Roman;Times;serif" w:hAnsi="Times New Roman;Times;serif"/>
          <w:color w:val="000000"/>
          <w:sz w:val="20"/>
          <w:u w:val="single"/>
        </w:rPr>
        <w:t>Exchange Cap</w:t>
      </w:r>
      <w:r>
        <w:rPr>
          <w:rFonts w:ascii="Times New Roman;Times;serif" w:hAnsi="Times New Roman;Times;serif"/>
          <w:color w:val="000000"/>
          <w:sz w:val="20"/>
        </w:rPr>
        <w:t>”), except that such limitation shall not apply in the event that the Company (A) obtains the Shareholder Approval or (B) obtains a written opinion from counsel to the Company that such approval is not required, which opinion shall be reasonably satisfactory to the Holder. Until such approval or such written opinion is obtained, no Purchaser shall be issued in the aggregate, upon conversion or exercise (as the case may be) of any Notes or otherwise pursuant to the terms of the Notes, or of any Warrants or otherwise pursuant to the terms of the Warrants, Ordinary Shares in an amount greater than the product of (i) the Exchange Cap as of the date of the Purchase Agreement multiplied by (ii) the quotient of (1) the original principal amount of Notes issued to such Purchaser pursuant to the Purchase Agreement on the Closing Date (as defined in the Purchase Agreement) divided by (2) the aggregate original principal amount of all Notes issued to the Purchaser pursuant to the Purchase Agreement on the Date (with respect to each Purchaser, the “</w:t>
      </w:r>
      <w:r>
        <w:rPr>
          <w:rFonts w:ascii="Times New Roman;Times;serif" w:hAnsi="Times New Roman;Times;serif"/>
          <w:color w:val="000000"/>
          <w:sz w:val="20"/>
          <w:u w:val="single"/>
        </w:rPr>
        <w:t>Exchange Cap Allocation</w:t>
      </w:r>
      <w:r>
        <w:rPr>
          <w:rFonts w:ascii="Times New Roman;Times;serif" w:hAnsi="Times New Roman;Times;serif"/>
          <w:color w:val="000000"/>
          <w:sz w:val="20"/>
        </w:rPr>
        <w:t>”). In the event that any Purchaser shall sell or otherwise transfer any of such Purchaser’s Notes, the transferee shall be allocated a pro rata portion of such Purchaser’s Exchange Cap Allocation with respect to such portion of such Notes so transferred, and the restrictions of the prior sentence shall apply to such transferee with respect to the portion of the Exchange Cap Allocation so allocated to such transferee. Upon conversion in full of a holder’s Notes, the difference (if any) between such holder’s Exchange Cap Allocation and the number of Ordinary Shares actually issued to such holder upon such holder’s conversion in full of such Notes shall be allocated, to the respective Exchange Cap Allocations of the remaining holders of Notes on a pro rata basis in proportion to the Ordinary Shares underlying the Notes then held by each such holder of Notes.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(f)          </w:t>
      </w:r>
      <w:r>
        <w:rPr>
          <w:rFonts w:ascii="Times New Roman;Times;serif" w:hAnsi="Times New Roman;Times;serif"/>
          <w:color w:val="000000"/>
          <w:sz w:val="20"/>
          <w:u w:val="single"/>
        </w:rPr>
        <w:t>Holder of Record of Conversion Shares</w:t>
      </w:r>
      <w:r>
        <w:rPr>
          <w:rFonts w:ascii="Times New Roman;Times;serif" w:hAnsi="Times New Roman;Times;serif"/>
          <w:color w:val="000000"/>
          <w:sz w:val="20"/>
        </w:rPr>
        <w:t>. The Person in whose name any Conversion Share is issuable or deliverable upon conversion of this Note will be deemed for all corporate purposes to hold such share as of the close of business on the date of receipt by such Person of the Conversion Shares for such conversion.</w:t>
      </w:r>
    </w:p>
    <w:p>
      <w:pPr>
        <w:pStyle w:val="TextBody"/>
        <w:bidi w:val="0"/>
        <w:spacing w:lineRule="auto" w:line="300" w:before="0" w:after="0"/>
        <w:jc w:val="left"/>
        <w:rPr>
          <w:color w:val="000000"/>
        </w:rPr>
      </w:pPr>
      <w:r>
        <w:rPr>
          <w:color w:val="000000"/>
        </w:rPr>
        <w:t> </w:t>
      </w:r>
    </w:p>
    <w:tbl>
      <w:tblPr>
        <w:tblW w:w="2613" w:type="dxa"/>
        <w:jc w:val="left"/>
        <w:tblInd w:w="0" w:type="dxa"/>
        <w:tblLayout w:type="fixed"/>
        <w:tblCellMar>
          <w:top w:w="0" w:type="dxa"/>
          <w:left w:w="0" w:type="dxa"/>
          <w:bottom w:w="0" w:type="dxa"/>
          <w:right w:w="0" w:type="dxa"/>
        </w:tblCellMar>
      </w:tblPr>
      <w:tblGrid>
        <w:gridCol w:w="38"/>
        <w:gridCol w:w="830"/>
        <w:gridCol w:w="1745"/>
      </w:tblGrid>
      <w:tr>
        <w:trPr/>
        <w:tc>
          <w:tcPr>
            <w:tcW w:w="38" w:type="dxa"/>
            <w:tcBorders/>
            <w:vAlign w:val="center"/>
          </w:tcPr>
          <w:p>
            <w:pPr>
              <w:pStyle w:val="TableContents"/>
              <w:bidi w:val="0"/>
              <w:spacing w:before="0" w:after="283"/>
              <w:jc w:val="left"/>
              <w:rPr/>
            </w:pPr>
            <w:r>
              <w:rPr/>
            </w:r>
          </w:p>
        </w:tc>
        <w:tc>
          <w:tcPr>
            <w:tcW w:w="830" w:type="dxa"/>
            <w:tcBorders/>
            <w:vAlign w:val="center"/>
          </w:tcPr>
          <w:p>
            <w:pPr>
              <w:pStyle w:val="TableContents"/>
              <w:bidi w:val="0"/>
              <w:spacing w:before="0" w:after="283"/>
              <w:jc w:val="left"/>
              <w:rPr>
                <w:rFonts w:ascii="Times New Roman;Times;serif" w:hAnsi="Times New Roman;Times;serif"/>
                <w:sz w:val="20"/>
                <w:u w:val="single"/>
              </w:rPr>
            </w:pPr>
            <w:r>
              <w:rPr>
                <w:rFonts w:ascii="Times New Roman;Times;serif" w:hAnsi="Times New Roman;Times;serif"/>
                <w:sz w:val="20"/>
                <w:u w:val="single"/>
              </w:rPr>
              <w:t>Section 5.</w:t>
            </w:r>
          </w:p>
        </w:tc>
        <w:tc>
          <w:tcPr>
            <w:tcW w:w="1745" w:type="dxa"/>
            <w:tcBorders/>
            <w:vAlign w:val="center"/>
          </w:tcPr>
          <w:p>
            <w:pPr>
              <w:pStyle w:val="TableContents"/>
              <w:bidi w:val="0"/>
              <w:spacing w:before="0" w:after="0"/>
              <w:jc w:val="both"/>
              <w:rPr>
                <w:rFonts w:ascii="Times New Roman;Times;serif" w:hAnsi="Times New Roman;Times;serif"/>
                <w:sz w:val="20"/>
                <w:u w:val="single"/>
              </w:rPr>
            </w:pPr>
            <w:r>
              <w:rPr>
                <w:rFonts w:ascii="Times New Roman;Times;serif" w:hAnsi="Times New Roman;Times;serif"/>
                <w:sz w:val="20"/>
                <w:u w:val="single"/>
              </w:rPr>
              <w:t>Certain Adjustments.</w:t>
            </w:r>
          </w:p>
        </w:tc>
      </w:tr>
    </w:tbl>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(a)          </w:t>
      </w:r>
      <w:r>
        <w:rPr>
          <w:rFonts w:ascii="Times New Roman;Times;serif" w:hAnsi="Times New Roman;Times;serif"/>
          <w:color w:val="000000"/>
          <w:sz w:val="20"/>
          <w:u w:val="single"/>
        </w:rPr>
        <w:t>Share Dividends and Share Splits</w:t>
      </w:r>
      <w:r>
        <w:rPr>
          <w:rFonts w:ascii="Times New Roman;Times;serif" w:hAnsi="Times New Roman;Times;serif"/>
          <w:color w:val="000000"/>
          <w:sz w:val="20"/>
        </w:rPr>
        <w:t>.  If the Company, at any time while this Note is outstanding: (i) pays a share dividend or otherwise makes a distribution or distributions payable in Ordinary Shares on Ordinary Shares or any Ordinary Share Equivalents (which, for the avoidance of doubt, shall not include any Ordinary Shares issued by the Company upon conversion of the Notes), (ii) subdivides outstanding Ordinary Shares into a larger number of shares, (iii) combines (including by way of a reverse share split) outstanding Ordinary Shares into a smaller number of shares or (iv) issues, in the event of a reclassification of Ordinary Shares, any shares of the share capital of the Company, then the Conversion Price shall be multiplied by a fraction of which the numerator shall be the number of Ordinary Shares (excluding any treasury shares of the Company) outstanding immediately before such event, and of which the denominator shall be the number of Ordinary Shares outstanding immediately after such event.  Any adjustment made pursuant to this Section shall become effective immediately after the record date for the determination of shareholders entitled to receive such dividend or distribution and shall become effective immediately after the effective date in the case of a subdivision, combination or re classification.</w:t>
      </w:r>
    </w:p>
    <w:p>
      <w:pPr>
        <w:pStyle w:val="TextBody"/>
        <w:bidi w:val="0"/>
        <w:spacing w:lineRule="auto" w:line="300"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B - 11</w:t>
      </w:r>
    </w:p>
    <w:p>
      <w:pPr>
        <w:pStyle w:val="HorizontalLine"/>
        <w:pBdr>
          <w:bottom w:val="single" w:sz="12" w:space="0" w:color="808080"/>
        </w:pBdr>
        <w:bidi w:val="0"/>
        <w:spacing w:lineRule="auto" w:line="300" w:before="200" w:after="200"/>
        <w:jc w:val="left"/>
        <w:rPr/>
      </w:pPr>
      <w:r>
        <w:rPr/>
      </w:r>
    </w:p>
    <w:p>
      <w:pPr>
        <w:pStyle w:val="TextBody"/>
        <w:bidi w:val="0"/>
        <w:spacing w:lineRule="auto" w:line="300"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(b)          </w:t>
      </w:r>
      <w:r>
        <w:rPr>
          <w:rFonts w:ascii="Times New Roman;Times;serif" w:hAnsi="Times New Roman;Times;serif"/>
          <w:color w:val="000000"/>
          <w:sz w:val="20"/>
          <w:u w:val="single"/>
        </w:rPr>
        <w:t>Reserved</w:t>
      </w:r>
      <w:r>
        <w:rPr>
          <w:rFonts w:ascii="Times New Roman;Times;serif" w:hAnsi="Times New Roman;Times;serif"/>
          <w:color w:val="000000"/>
          <w:sz w:val="20"/>
        </w:rPr>
        <w:t>.</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(c)          </w:t>
      </w:r>
      <w:r>
        <w:rPr>
          <w:rFonts w:ascii="Times New Roman;Times;serif" w:hAnsi="Times New Roman;Times;serif"/>
          <w:color w:val="000000"/>
          <w:sz w:val="20"/>
          <w:u w:val="single"/>
        </w:rPr>
        <w:t>Subsequent Rights Offerings</w:t>
      </w:r>
      <w:r>
        <w:rPr>
          <w:rFonts w:ascii="Times New Roman;Times;serif" w:hAnsi="Times New Roman;Times;serif"/>
          <w:color w:val="000000"/>
          <w:sz w:val="20"/>
        </w:rPr>
        <w:t>.  In addition to any adjustments pursuant to Section 5(a) above, if at any time the Company grants, issues or sells any Ordinary Share Equivalents or rights to purchase shares, warrants, securities or other property pro rata to the record holders of any class of Ordinary Shares, as a class (the “</w:t>
      </w:r>
      <w:r>
        <w:rPr>
          <w:rFonts w:ascii="Times New Roman;Times;serif" w:hAnsi="Times New Roman;Times;serif"/>
          <w:color w:val="000000"/>
          <w:sz w:val="20"/>
          <w:u w:val="single"/>
        </w:rPr>
        <w:t>Purchase Rights</w:t>
      </w:r>
      <w:r>
        <w:rPr>
          <w:rFonts w:ascii="Times New Roman;Times;serif" w:hAnsi="Times New Roman;Times;serif"/>
          <w:color w:val="000000"/>
          <w:sz w:val="20"/>
        </w:rPr>
        <w:t>”), then the Holder will be entitled to acquire, upon the terms applicable to such Purchase Rights, the aggregate Purchase Rights which the Holder could have acquired if the Holder had held the number of Ordinary Shares acquirable upon complete conversion of this Note (without regard to any limitations on conversion hereof, including without limitation, the Beneficial Ownership Limitation and assuming for such purpose that the Note was converted at the Conversion Price as of the applicable record date) immediately before the date on which a record is taken for the grant, issuance or sale of such Purchase Rights, or, if no such record is taken, the date as of which the record holders of Ordinary Shares are to be determined for the grant, issue or sale of such Purchase Rights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however</w:t>
      </w:r>
      <w:r>
        <w:rPr>
          <w:rFonts w:ascii="Times New Roman;Times;serif" w:hAnsi="Times New Roman;Times;serif"/>
          <w:color w:val="000000"/>
          <w:sz w:val="20"/>
        </w:rPr>
        <w:t>, that, to the extent that the Holder’s right to participate in any such Purchase Right would result in the Holder exceeding the Beneficial Ownership Limitation, then the Holder shall not be entitled to participate in such Purchase Right to such extent (or beneficial ownership of such Ordinary Shares as a result of such Purchase Right to such extent) and such Purchase Right to such extent shall be held in abeyance for the Holder until such time, if ever, as its right thereto would not result in the Holder exceeding the Beneficial Ownership Limitation).</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(d)          </w:t>
      </w:r>
      <w:r>
        <w:rPr>
          <w:rFonts w:ascii="Times New Roman;Times;serif" w:hAnsi="Times New Roman;Times;serif"/>
          <w:color w:val="000000"/>
          <w:sz w:val="20"/>
          <w:u w:val="single"/>
        </w:rPr>
        <w:t>Pro Rata Distributions</w:t>
      </w:r>
      <w:r>
        <w:rPr>
          <w:rFonts w:ascii="Times New Roman;Times;serif" w:hAnsi="Times New Roman;Times;serif"/>
          <w:color w:val="000000"/>
          <w:sz w:val="20"/>
        </w:rPr>
        <w:t>. During such time as this Note is outstanding, if the Company shall declare or make any dividend or other distribution of its assets (or rights to acquire its assets) to holders of Ordinary Shares, by way of return of capital or otherwise (including, without limitation, any distribution of cash, stock or other securities, property or options by way of a dividend, spin off, reclassification, corporate rearrangement, scheme of arrangement or other similar transaction) (a “</w:t>
      </w:r>
      <w:r>
        <w:rPr>
          <w:rFonts w:ascii="Times New Roman;Times;serif" w:hAnsi="Times New Roman;Times;serif"/>
          <w:color w:val="000000"/>
          <w:sz w:val="20"/>
          <w:u w:val="single"/>
        </w:rPr>
        <w:t>Distribution</w:t>
      </w:r>
      <w:r>
        <w:rPr>
          <w:rFonts w:ascii="Times New Roman;Times;serif" w:hAnsi="Times New Roman;Times;serif"/>
          <w:color w:val="000000"/>
          <w:sz w:val="20"/>
        </w:rPr>
        <w:t>”), at any time after the issuance of this Note, then, in each such case, the Holder shall be entitled to participate in such Distribution to the same extent that the Holder would have participated therein if the Holder had held the number of Ordinary Shares acquirable upon complete conversion of this Note (without regard to any limitations on conversion hereof, including without limitation, the Beneficial Ownership Limitation) immediately before the date of which a record is taken for such Distribution, or, if no such record is taken, the date as of which the record holders of Ordinary Shares are to be determined for the participation in such Distribution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however</w:t>
      </w:r>
      <w:r>
        <w:rPr>
          <w:rFonts w:ascii="Times New Roman;Times;serif" w:hAnsi="Times New Roman;Times;serif"/>
          <w:color w:val="000000"/>
          <w:sz w:val="20"/>
        </w:rPr>
        <w:t xml:space="preserve">, </w:t>
      </w:r>
      <w:r>
        <w:rPr>
          <w:rFonts w:ascii="Times New Roman;Times;serif" w:hAnsi="Times New Roman;Times;serif"/>
          <w:color w:val="000000"/>
          <w:sz w:val="20"/>
          <w:u w:val="single"/>
        </w:rPr>
        <w:t>that</w:t>
      </w:r>
      <w:r>
        <w:rPr>
          <w:rFonts w:ascii="Times New Roman;Times;serif" w:hAnsi="Times New Roman;Times;serif"/>
          <w:color w:val="000000"/>
          <w:sz w:val="20"/>
        </w:rPr>
        <w:t>, to the extent that the Holder’s right to participate in any such Distribution would result in the Holder exceeding the Beneficial Ownership Limitation, then the Holder shall not be entitled to participate in such Distribution to such extent (or in the beneficial ownership of any Ordinary Shares as a result of such Distribution to such extent) and the portion of such Distribution shall be held in abeyance for the benefit of the Holder until such time, if ever, as its right thereto would not result in the Holder exceeding the Beneficial Ownership Limitation).</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(e)          </w:t>
      </w:r>
      <w:r>
        <w:rPr>
          <w:rFonts w:ascii="Times New Roman;Times;serif" w:hAnsi="Times New Roman;Times;serif"/>
          <w:color w:val="000000"/>
          <w:sz w:val="20"/>
          <w:u w:val="single"/>
        </w:rPr>
        <w:t>Adjustment to Conversion Price</w:t>
      </w:r>
      <w:r>
        <w:rPr>
          <w:rFonts w:ascii="Times New Roman;Times;serif" w:hAnsi="Times New Roman;Times;serif"/>
          <w:color w:val="000000"/>
          <w:sz w:val="20"/>
        </w:rPr>
        <w:t xml:space="preserve">.  Whenever the Conversion Price is adjusted pursuant to any provision of this </w:t>
      </w:r>
      <w:r>
        <w:rPr>
          <w:rFonts w:ascii="Times New Roman;Times;serif" w:hAnsi="Times New Roman;Times;serif"/>
          <w:color w:val="000000"/>
          <w:sz w:val="20"/>
          <w:u w:val="single"/>
        </w:rPr>
        <w:t>Section 5</w:t>
      </w:r>
      <w:r>
        <w:rPr>
          <w:rFonts w:ascii="Times New Roman;Times;serif" w:hAnsi="Times New Roman;Times;serif"/>
          <w:color w:val="000000"/>
          <w:sz w:val="20"/>
        </w:rPr>
        <w:t>, the Company shall promptly deliver to each Holder a notice setting forth the Conversion Price after such adjustment and setting forth a brief statement of the facts requiring such adjustment.</w:t>
      </w:r>
    </w:p>
    <w:p>
      <w:pPr>
        <w:pStyle w:val="TextBody"/>
        <w:bidi w:val="0"/>
        <w:spacing w:lineRule="auto" w:line="300"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B - 12</w:t>
      </w:r>
    </w:p>
    <w:p>
      <w:pPr>
        <w:pStyle w:val="HorizontalLine"/>
        <w:pBdr>
          <w:bottom w:val="single" w:sz="12" w:space="0" w:color="808080"/>
        </w:pBdr>
        <w:bidi w:val="0"/>
        <w:spacing w:lineRule="auto" w:line="300" w:before="200" w:after="200"/>
        <w:jc w:val="left"/>
        <w:rPr/>
      </w:pPr>
      <w:r>
        <w:rPr/>
      </w:r>
    </w:p>
    <w:p>
      <w:pPr>
        <w:pStyle w:val="TextBody"/>
        <w:bidi w:val="0"/>
        <w:spacing w:lineRule="auto" w:line="300"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(f)          </w:t>
      </w:r>
      <w:r>
        <w:rPr>
          <w:rFonts w:ascii="Times New Roman;Times;serif" w:hAnsi="Times New Roman;Times;serif"/>
          <w:color w:val="000000"/>
          <w:sz w:val="20"/>
          <w:u w:val="single"/>
        </w:rPr>
        <w:t>Notice to Allow Conversion by Holder</w:t>
      </w:r>
      <w:r>
        <w:rPr>
          <w:rFonts w:ascii="Times New Roman;Times;serif" w:hAnsi="Times New Roman;Times;serif"/>
          <w:color w:val="000000"/>
          <w:sz w:val="20"/>
        </w:rPr>
        <w:t>.  If (A) the Company shall declare a dividend (or any other distribution in whatever form) on the Ordinary Shares, (B) the Company shall declare a special nonrecurring cash dividend on or a redemption of the Ordinary Shares, (C) the Company shall authorize the granting to all holders of the Ordinary Shares of rights or warrants to subscribe for or purchase any shares of the share capital of any class or of any rights, (D) the approval of any shareholders of the Company shall be required in connection with any reclassification of the Ordinary Shares, any consolidation or merger to which the Company (and all of its Subsidiaries, taken as a whole)  is a party, any sale or transfer of all or substantially all of the assets of the Company, or any compulsory share exchange whereby the Ordinary Shares are converted into other securities, cash or property or (E) the Company shall authorize the voluntary or involuntary dissolution, liquidation or winding up of the affairs of the Company, then, in each case, the Company shall cause to be filed at each office or agency maintained for the purpose of conversion of this Note, and shall cause to be delivered to the Holder at its last address as it shall appear upon the Note Register, at least twenty (20)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Ordinary Shares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Ordinary Shares of record shall be entitled to exchange their Ordinary Shares for securities, cash or other property deliverable upon such reclassification, consolidation, merger, sale, transfer or share exchange, provided that the failure to deliver such notice or any defect therein or in the delivery thereof shall not affect the validity of the corporate action required to be specified in such notice.  To the extent that any notice provided hereunder constitutes, or contains, material, non-public information regarding the Company or any of the Subsidiaries, the Company shall simultaneously file such notice with the Commission pursuant to a Current Report on Form 8-K.  For the avoidance of doubt, the Holder shall remain entitled to convert this Note during the 20-day period commencing on the date of such notice through the effective date of the event triggering such notice except as may otherwise be expressly set forth herein.</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(g)          </w:t>
      </w:r>
      <w:r>
        <w:rPr>
          <w:rFonts w:ascii="Times New Roman;Times;serif" w:hAnsi="Times New Roman;Times;serif"/>
          <w:color w:val="000000"/>
          <w:sz w:val="20"/>
          <w:u w:val="single"/>
        </w:rPr>
        <w:t>Fundamental Transaction</w:t>
      </w:r>
      <w:r>
        <w:rPr>
          <w:rFonts w:ascii="Times New Roman;Times;serif" w:hAnsi="Times New Roman;Times;serif"/>
          <w:color w:val="000000"/>
          <w:sz w:val="20"/>
        </w:rPr>
        <w:t>. If, at any time while this Note is outstanding, (i) the Company, directly or indirectly, in one or more related transactions effects any merger or consolidation of the Company with or into another Person, (ii) the Company (or any subsidiary), directly or indirectly effects any sale, lease, license, assignment, transfer, conveyance or other disposition of all or substantially all of its assets in one or a series of related transactions, except to the extent subject to an adjustment pursuant to Section 5, (iii) any, direct or indirect, purchase offer, tender offer or exchange offer (whether by the Company or another Person) is completed pursuant to which holders of Ordinary Shares are permitted to sell, tender or exchange their shares for other securities, cash or property and has been accepted by the holders of more than 50% of the outstanding Ordinary Shares or more than 50% of the voting power of the common equity of the Company, (iv) the Company, directly or indirectly, in one or more related transactions effects any reclassification, reorganization or recapitalization of the Ordinary Shares or any compulsory share exchange pursuant to which the Ordinary Shares are effectively converted into or exchanged for other securities, cash or property, or (v) the Company, directly or indirectly, in one or more related transactions consummates a share purchase agreement or other business combination (including, without limitation, a reorganization, recapitalization, spin-off, merger or scheme of arrangement) with another Person or group of Persons whereby such other Person or group acquires more than 50% of the outstanding Ordinary Shares or more than 50% of the voting power of the Ordinary Shares of the Company (each a “</w:t>
      </w:r>
      <w:r>
        <w:rPr>
          <w:rFonts w:ascii="Times New Roman;Times;serif" w:hAnsi="Times New Roman;Times;serif"/>
          <w:color w:val="000000"/>
          <w:sz w:val="20"/>
          <w:u w:val="single"/>
        </w:rPr>
        <w:t>Fundamental Transaction</w:t>
      </w:r>
      <w:r>
        <w:rPr>
          <w:rFonts w:ascii="Times New Roman;Times;serif" w:hAnsi="Times New Roman;Times;serif"/>
          <w:color w:val="000000"/>
          <w:sz w:val="20"/>
        </w:rPr>
        <w:t>”), then, upon any subsequent conversion of this Note, the Holder shall have the right to receive, for each Conversion Share that would have been issuable upon such conversion immediately prior to the occurrence of such Fundamental Transaction, at the option of the Holder (without regard to any limitation in Section 4(d) on the conversion of this Note), the number of Ordinary Shares of the successor or acquiring corporation or of the Company, if it is the surviving corporation, and any additional consideration (the “</w:t>
      </w:r>
      <w:r>
        <w:rPr>
          <w:rFonts w:ascii="Times New Roman;Times;serif" w:hAnsi="Times New Roman;Times;serif"/>
          <w:color w:val="000000"/>
          <w:sz w:val="20"/>
          <w:u w:val="single"/>
        </w:rPr>
        <w:t>Alternate Consideration</w:t>
      </w:r>
      <w:r>
        <w:rPr>
          <w:rFonts w:ascii="Times New Roman;Times;serif" w:hAnsi="Times New Roman;Times;serif"/>
          <w:color w:val="000000"/>
          <w:sz w:val="20"/>
        </w:rPr>
        <w:t>”) receivable as a result of such Fundamental Transaction by a holder of the number of Ordinary Shares for which this Note is convertible immediately prior to such Fundamental Transaction (without regard to any limitation in Section 4(d) on the conversion of this Note). For purposes of any such conversion, the determination of the Conversion Price shall be appropriately adjusted to apply to such Alternate Consideration based on the amount of Alternate Consideration issuable in respect of one Ordinary Share in such Fundamental Transaction, and the Company shall apportion the Conversion Price among the Alternate Consideration in a reasonable manner reflecting the relative value of any different components of the Alternate Consideration. If holders of Ordinary Shares are given any choice as to the securities, cash or property to be received in a Fundamental Transaction, then the Holder shall be given the same choice as to the Alternate Consideration it receives upon any conversion of this Note following such Fundamental Transaction. The Company shall cause any successor entity in a Fundamental Transaction in which the Company is not the survivor (the “</w:t>
      </w:r>
      <w:r>
        <w:rPr>
          <w:rFonts w:ascii="Times New Roman;Times;serif" w:hAnsi="Times New Roman;Times;serif"/>
          <w:color w:val="000000"/>
          <w:sz w:val="20"/>
          <w:u w:val="single"/>
        </w:rPr>
        <w:t>Successor Entity</w:t>
      </w:r>
      <w:r>
        <w:rPr>
          <w:rFonts w:ascii="Times New Roman;Times;serif" w:hAnsi="Times New Roman;Times;serif"/>
          <w:color w:val="000000"/>
          <w:sz w:val="20"/>
        </w:rPr>
        <w:t>”) to assume in writing all of the obligations of the Company under this Note in accordance with the provisions of this Section 5(h) pursuant to written agreements in form and substance reasonably satisfactory to the Holder and approved by the Holder (without unreasonable delay) prior to such Fundamental Transaction and shall, at the option of the Holder, deliver to the Holder in exchange for this Note a security of the Successor Entity evidenced by a written instrument substantially similar in form and substance to this Note which is convertible for a corresponding number of shares of capital stock of such Successor Entity (or its parent entity) equivalent to the Ordinary Shares acquirable and receivable upon conversion of this Note (without regard to any limitations on the conversion of this Note) prior to such Fundamental Transaction, and with an conversion price which applies the conversion price hereunder to such shares of capital stock (but taking into account the relative value of the Ordinary Shares pursuant to such Fundamental Transaction and the value of such shares of capital stock, such number of shares of capital stock and such conversion price being for the purpose of protecting the economic value of this Note immediately prior to the consummation of such Fundamental Transaction), and which is reasonably satisfactory in form and substance to the Holder. Upon the occurrence of any such Fundamental Transaction, the Successor Entity shall be added to the term “Company” under this Note (so that from and after the occurrence or consummation of such Fundamental Transaction, each and every provision of this Note and the other Transaction Documents referring to the “Company” shall refer instead to each of the Company and the Successor Entity or Successor Entities, jointly and severally), and the Successor Entity or Successor Entities, jointly and severally with the Company, may exercise every right and power of the Company prior thereto and the Successor Entity or Successor Entities shall assume all of the obligations of the Company prior thereto under this Note with the same effect as if the Company and such Successor Entity or Successor Entities, jointly and severally, had been named as the Company herein. Notwithstanding anything to the contrary herein, the Company and Holder acknowledge and agree that the transactions contemplated by that certain Purchase Agreement (the “Oratech Purchase Agreement”), dated as of January 12, 2026, by and among the Company, Oratech Pharma, Inc. and Oramed Pharmaceuticals, Inc. (the “Current Transaction”) and related transaction documentation, including the execution of the Oratech Purchase Agreement and documentation related thereto, shall not constitute, and shall not be deemed to constitute, a Fundamental Transaction for any purpose under this Note, and no rights, remedies, or obligations that would otherwise arise upon the occurrence of a Fundamental Transaction shall be triggered by or in connection with the consummation of the Current Transaction.  Additionally, notwithstanding anything to the contrary herein, no transaction, action, election, or arrangement initiated, proposed, directed, or otherwise caused by, or at the direction of, the Majority Holders shall constitute, or be deemed to constitute, a Fundamental Transaction, and no Fundamental Transaction shall be deemed to have occurred solely as a result of any voluntary act or omission of the Majority Holders. For the avoidance of doubt, a Fundamental Transaction shall only be deemed to occur upon the consummation of a transaction undertaken by the Company or a third party independent of the Majority Holders, and not as a result of any designation, characterization, or contractual right exercised by the Majority Holders.</w:t>
      </w:r>
    </w:p>
    <w:p>
      <w:pPr>
        <w:pStyle w:val="TextBody"/>
        <w:bidi w:val="0"/>
        <w:spacing w:lineRule="auto" w:line="300"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B - 13</w:t>
      </w:r>
    </w:p>
    <w:p>
      <w:pPr>
        <w:pStyle w:val="HorizontalLine"/>
        <w:pBdr>
          <w:bottom w:val="single" w:sz="12" w:space="0" w:color="808080"/>
        </w:pBdr>
        <w:bidi w:val="0"/>
        <w:spacing w:lineRule="auto" w:line="300" w:before="200" w:after="200"/>
        <w:jc w:val="left"/>
        <w:rPr/>
      </w:pPr>
      <w:r>
        <w:rPr/>
      </w:r>
    </w:p>
    <w:p>
      <w:pPr>
        <w:pStyle w:val="TextBody"/>
        <w:bidi w:val="0"/>
        <w:spacing w:lineRule="auto" w:line="300"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(h)          </w:t>
      </w:r>
      <w:r>
        <w:rPr>
          <w:rFonts w:ascii="Times New Roman;Times;serif" w:hAnsi="Times New Roman;Times;serif"/>
          <w:color w:val="000000"/>
          <w:sz w:val="20"/>
          <w:u w:val="single"/>
        </w:rPr>
        <w:t>Calculations</w:t>
      </w:r>
      <w:r>
        <w:rPr>
          <w:rFonts w:ascii="Times New Roman;Times;serif" w:hAnsi="Times New Roman;Times;serif"/>
          <w:color w:val="000000"/>
          <w:sz w:val="20"/>
        </w:rPr>
        <w:t>.  All calculations under this Section 5 shall be made to the nearest cent or the nearest 1/100th of a share, as the case may be.  For purposes of this Section 5, the number of Ordinary Shares deemed to be issued and outstanding as of a given date shall be the sum of the number of Ordinary Shares (excluding any treasury shares of the Company) issued and outstanding.</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hanging="0"/>
        <w:jc w:val="both"/>
        <w:rPr>
          <w:rFonts w:ascii="Times New Roman;Times;serif" w:hAnsi="Times New Roman;Times;serif"/>
          <w:color w:val="000000"/>
          <w:sz w:val="20"/>
        </w:rPr>
      </w:pPr>
      <w:r>
        <w:rPr>
          <w:rFonts w:ascii="Times New Roman;Times;serif" w:hAnsi="Times New Roman;Times;serif"/>
          <w:color w:val="000000"/>
          <w:sz w:val="20"/>
          <w:u w:val="single"/>
        </w:rPr>
        <w:t>Section 6.</w:t>
      </w:r>
      <w:r>
        <w:rPr>
          <w:rFonts w:ascii="Times New Roman;Times;serif" w:hAnsi="Times New Roman;Times;serif"/>
          <w:color w:val="000000"/>
          <w:sz w:val="20"/>
        </w:rPr>
        <w:t>          </w:t>
      </w:r>
      <w:r>
        <w:rPr>
          <w:rFonts w:ascii="Times New Roman;Times;serif" w:hAnsi="Times New Roman;Times;serif"/>
          <w:color w:val="000000"/>
          <w:sz w:val="20"/>
          <w:u w:val="single"/>
        </w:rPr>
        <w:t>Reserved</w:t>
      </w:r>
      <w:r>
        <w:rPr>
          <w:rFonts w:ascii="Times New Roman;Times;serif" w:hAnsi="Times New Roman;Times;serif"/>
          <w:color w:val="000000"/>
          <w:sz w:val="20"/>
        </w:rPr>
        <w:t>.</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hanging="0"/>
        <w:jc w:val="both"/>
        <w:rPr>
          <w:rFonts w:ascii="Times New Roman;Times;serif" w:hAnsi="Times New Roman;Times;serif"/>
          <w:color w:val="000000"/>
          <w:sz w:val="20"/>
        </w:rPr>
      </w:pPr>
      <w:r>
        <w:rPr>
          <w:rFonts w:ascii="Times New Roman;Times;serif" w:hAnsi="Times New Roman;Times;serif"/>
          <w:color w:val="000000"/>
          <w:sz w:val="20"/>
          <w:u w:val="single"/>
        </w:rPr>
        <w:t>Section 7.</w:t>
      </w:r>
      <w:r>
        <w:rPr>
          <w:rFonts w:ascii="Times New Roman;Times;serif" w:hAnsi="Times New Roman;Times;serif"/>
          <w:color w:val="000000"/>
          <w:sz w:val="20"/>
        </w:rPr>
        <w:t>          </w:t>
      </w:r>
      <w:r>
        <w:rPr>
          <w:rFonts w:ascii="Times New Roman;Times;serif" w:hAnsi="Times New Roman;Times;serif"/>
          <w:color w:val="000000"/>
          <w:sz w:val="20"/>
          <w:u w:val="single"/>
        </w:rPr>
        <w:t>Covenants</w:t>
      </w:r>
      <w:r>
        <w:rPr>
          <w:rFonts w:ascii="Times New Roman;Times;serif" w:hAnsi="Times New Roman;Times;serif"/>
          <w:color w:val="000000"/>
          <w:sz w:val="20"/>
        </w:rPr>
        <w:t>.</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630" w:right="0" w:firstLine="810"/>
        <w:jc w:val="both"/>
        <w:rPr>
          <w:rFonts w:ascii="Times New Roman;Times;serif" w:hAnsi="Times New Roman;Times;serif"/>
          <w:color w:val="000000"/>
          <w:sz w:val="20"/>
        </w:rPr>
      </w:pPr>
      <w:r>
        <w:rPr>
          <w:rFonts w:ascii="Times New Roman;Times;serif" w:hAnsi="Times New Roman;Times;serif"/>
          <w:color w:val="000000"/>
          <w:sz w:val="20"/>
        </w:rPr>
        <w:t>(a)          </w:t>
      </w:r>
      <w:r>
        <w:rPr>
          <w:rFonts w:ascii="Times New Roman;Times;serif" w:hAnsi="Times New Roman;Times;serif"/>
          <w:color w:val="000000"/>
          <w:sz w:val="20"/>
          <w:u w:val="single"/>
        </w:rPr>
        <w:t>Negative Covenants</w:t>
      </w:r>
      <w:r>
        <w:rPr>
          <w:rFonts w:ascii="Times New Roman;Times;serif" w:hAnsi="Times New Roman;Times;serif"/>
          <w:color w:val="000000"/>
          <w:sz w:val="20"/>
        </w:rPr>
        <w:t>. As long as any portion of this Note remains outstanding, except with the consent of the Majority Holders, the Company shall not, and shall not permit any of the Subsidiaries to, directly or indirectly:</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1440" w:right="0" w:firstLine="720"/>
        <w:jc w:val="both"/>
        <w:rPr>
          <w:rFonts w:ascii="Times New Roman;Times;serif" w:hAnsi="Times New Roman;Times;serif"/>
          <w:color w:val="000000"/>
          <w:sz w:val="20"/>
        </w:rPr>
      </w:pPr>
      <w:r>
        <w:rPr>
          <w:rFonts w:ascii="Times New Roman;Times;serif" w:hAnsi="Times New Roman;Times;serif"/>
          <w:color w:val="000000"/>
          <w:sz w:val="20"/>
        </w:rPr>
        <w:t>(i)          other than Permitted Indebtedness, enter into, create, incur, assume, guarantee or suffer to exist any Indebtedness of any kind, including, but not limited to, a guarantee, on or with respect to any of its property or assets now owned or hereafter acquired or any interest therein or any income or profits therefrom;</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1440" w:right="0" w:firstLine="720"/>
        <w:jc w:val="both"/>
        <w:rPr>
          <w:rFonts w:ascii="Times New Roman;Times;serif" w:hAnsi="Times New Roman;Times;serif"/>
          <w:color w:val="000000"/>
          <w:sz w:val="20"/>
        </w:rPr>
      </w:pPr>
      <w:r>
        <w:rPr>
          <w:rFonts w:ascii="Times New Roman;Times;serif" w:hAnsi="Times New Roman;Times;serif"/>
          <w:color w:val="000000"/>
          <w:sz w:val="20"/>
        </w:rPr>
        <w:t>(ii)          other than Permitted Liens, enter into, create, incur, assume or suffer to exist any Liens of any kind, on or with respect to any of its property or assets now owned or hereafter acquired or any interest therein or any income or profits therefrom;</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1440" w:right="0" w:firstLine="720"/>
        <w:jc w:val="both"/>
        <w:rPr>
          <w:rFonts w:ascii="Times New Roman;Times;serif" w:hAnsi="Times New Roman;Times;serif"/>
          <w:color w:val="000000"/>
          <w:sz w:val="20"/>
        </w:rPr>
      </w:pPr>
      <w:r>
        <w:rPr>
          <w:rFonts w:ascii="Times New Roman;Times;serif" w:hAnsi="Times New Roman;Times;serif"/>
          <w:color w:val="000000"/>
          <w:sz w:val="20"/>
        </w:rPr>
        <w:t>(iii)          amend its governing documents, including, without limitation, its memorandum and articles of association, in any manner that materially and adversely affects any rights of the Holder;</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1440" w:right="0" w:firstLine="720"/>
        <w:jc w:val="both"/>
        <w:rPr>
          <w:rFonts w:ascii="Times New Roman;Times;serif" w:hAnsi="Times New Roman;Times;serif"/>
          <w:color w:val="000000"/>
          <w:sz w:val="20"/>
        </w:rPr>
      </w:pPr>
      <w:r>
        <w:rPr>
          <w:rFonts w:ascii="Times New Roman;Times;serif" w:hAnsi="Times New Roman;Times;serif"/>
          <w:color w:val="000000"/>
          <w:sz w:val="20"/>
        </w:rPr>
        <w:t xml:space="preserve">(iv)          repay, repurchase or offer to repay, repurchase or otherwise acquire more than a </w:t>
      </w:r>
      <w:r>
        <w:rPr>
          <w:rFonts w:ascii="Times New Roman;Times;serif" w:hAnsi="Times New Roman;Times;serif"/>
          <w:color w:val="000000"/>
          <w:sz w:val="20"/>
          <w:u w:val="single"/>
        </w:rPr>
        <w:t>de</w:t>
      </w:r>
      <w:r>
        <w:rPr>
          <w:rFonts w:ascii="Times New Roman;Times;serif" w:hAnsi="Times New Roman;Times;serif"/>
          <w:color w:val="000000"/>
          <w:sz w:val="20"/>
        </w:rPr>
        <w:t> </w:t>
      </w:r>
      <w:r>
        <w:rPr>
          <w:rFonts w:ascii="Times New Roman;Times;serif" w:hAnsi="Times New Roman;Times;serif"/>
          <w:color w:val="000000"/>
          <w:sz w:val="20"/>
          <w:u w:val="single"/>
        </w:rPr>
        <w:t>minimis</w:t>
      </w:r>
      <w:r>
        <w:rPr>
          <w:rFonts w:ascii="Times New Roman;Times;serif" w:hAnsi="Times New Roman;Times;serif"/>
          <w:color w:val="000000"/>
          <w:sz w:val="20"/>
        </w:rPr>
        <w:t xml:space="preserve"> number of Ordinary Shares or Ordinary Share Equivalents other than as to the Conversion Shares or the Warrant Shares as permitted or required under the Transaction Documents;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1440" w:right="0" w:firstLine="720"/>
        <w:jc w:val="both"/>
        <w:rPr>
          <w:rFonts w:ascii="Times New Roman;Times;serif" w:hAnsi="Times New Roman;Times;serif"/>
          <w:color w:val="000000"/>
          <w:sz w:val="20"/>
        </w:rPr>
      </w:pPr>
      <w:r>
        <w:rPr>
          <w:rFonts w:ascii="Times New Roman;Times;serif" w:hAnsi="Times New Roman;Times;serif"/>
          <w:color w:val="000000"/>
          <w:sz w:val="20"/>
        </w:rPr>
        <w:t xml:space="preserve">(v)          repay, repurchase or offer to repay, repurchase or otherwise acquire any Indebtedness, other than (i) the Notes, (ii) any Additional Notes, (iii) the Existing Notes, and (iv) regularly scheduled principal and interest payments with respect to other Indebtedness outstanding on the Original Issue Date, as such terms are in effect as of the Original Issue Date, in each case of </w:t>
      </w:r>
      <w:r>
        <w:rPr>
          <w:rFonts w:ascii="Times New Roman;Times;serif" w:hAnsi="Times New Roman;Times;serif"/>
          <w:color w:val="000000"/>
          <w:sz w:val="20"/>
          <w:u w:val="single"/>
        </w:rPr>
        <w:t>clauses (i</w:t>
      </w:r>
      <w:r>
        <w:rPr>
          <w:rFonts w:ascii="Times New Roman;Times;serif" w:hAnsi="Times New Roman;Times;serif"/>
          <w:color w:val="000000"/>
          <w:sz w:val="20"/>
        </w:rPr>
        <w:t>) through (</w:t>
      </w:r>
      <w:r>
        <w:rPr>
          <w:rFonts w:ascii="Times New Roman;Times;serif" w:hAnsi="Times New Roman;Times;serif"/>
          <w:color w:val="000000"/>
          <w:sz w:val="20"/>
          <w:u w:val="single"/>
        </w:rPr>
        <w:t>iv</w:t>
      </w:r>
      <w:r>
        <w:rPr>
          <w:rFonts w:ascii="Times New Roman;Times;serif" w:hAnsi="Times New Roman;Times;serif"/>
          <w:color w:val="000000"/>
          <w:sz w:val="20"/>
        </w:rPr>
        <w:t xml:space="preserve">), </w:t>
      </w:r>
      <w:r>
        <w:rPr>
          <w:rFonts w:ascii="Times New Roman;Times;serif" w:hAnsi="Times New Roman;Times;serif"/>
          <w:color w:val="000000"/>
          <w:sz w:val="20"/>
          <w:u w:val="single"/>
        </w:rPr>
        <w:t>provided</w:t>
      </w:r>
      <w:r>
        <w:rPr>
          <w:rFonts w:ascii="Times New Roman;Times;serif" w:hAnsi="Times New Roman;Times;serif"/>
          <w:color w:val="000000"/>
          <w:sz w:val="20"/>
        </w:rPr>
        <w:t> </w:t>
      </w:r>
      <w:r>
        <w:rPr>
          <w:rFonts w:ascii="Times New Roman;Times;serif" w:hAnsi="Times New Roman;Times;serif"/>
          <w:color w:val="000000"/>
          <w:sz w:val="20"/>
          <w:u w:val="single"/>
        </w:rPr>
        <w:t>that</w:t>
      </w:r>
      <w:r>
        <w:rPr>
          <w:rFonts w:ascii="Times New Roman;Times;serif" w:hAnsi="Times New Roman;Times;serif"/>
          <w:color w:val="000000"/>
          <w:sz w:val="20"/>
        </w:rPr>
        <w:t xml:space="preserve"> such payments shall not be permitted if, at such time, or after giving effect to such payment, any Event of Default exist or occur;</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1440" w:right="0" w:firstLine="720"/>
        <w:jc w:val="both"/>
        <w:rPr>
          <w:rFonts w:ascii="Times New Roman;Times;serif" w:hAnsi="Times New Roman;Times;serif"/>
          <w:color w:val="000000"/>
          <w:sz w:val="20"/>
        </w:rPr>
      </w:pPr>
      <w:r>
        <w:rPr>
          <w:rFonts w:ascii="Times New Roman;Times;serif" w:hAnsi="Times New Roman;Times;serif"/>
          <w:color w:val="000000"/>
          <w:sz w:val="20"/>
        </w:rPr>
        <w:t>(vi)          pay cash dividends or distributions on any equity securities of the Company;</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1440" w:right="0" w:firstLine="720"/>
        <w:jc w:val="both"/>
        <w:rPr>
          <w:rFonts w:ascii="Times New Roman;Times;serif" w:hAnsi="Times New Roman;Times;serif"/>
          <w:color w:val="000000"/>
          <w:sz w:val="20"/>
        </w:rPr>
      </w:pPr>
      <w:r>
        <w:rPr>
          <w:rFonts w:ascii="Times New Roman;Times;serif" w:hAnsi="Times New Roman;Times;serif"/>
          <w:color w:val="000000"/>
          <w:sz w:val="20"/>
        </w:rPr>
        <w:t>(vii)          enter into any transaction with any Affiliate of the Company which would be required to be disclosed in any public filing with the Commission, unless such transaction is made on an arm’s-length basis and expressly approved by a majority of the disinterested directors of the Company (even if less than a quorum otherwise required for board approval); or</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1440" w:right="0" w:firstLine="720"/>
        <w:jc w:val="both"/>
        <w:rPr>
          <w:rFonts w:ascii="Times New Roman;Times;serif" w:hAnsi="Times New Roman;Times;serif"/>
          <w:color w:val="000000"/>
          <w:sz w:val="20"/>
        </w:rPr>
      </w:pPr>
      <w:r>
        <w:rPr>
          <w:rFonts w:ascii="Times New Roman;Times;serif" w:hAnsi="Times New Roman;Times;serif"/>
          <w:color w:val="000000"/>
          <w:sz w:val="20"/>
        </w:rPr>
        <w:t>(viii)          enter into any agreement with respect to any of the foregoing.</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(b)          </w:t>
      </w:r>
      <w:r>
        <w:rPr>
          <w:rFonts w:ascii="Times New Roman;Times;serif" w:hAnsi="Times New Roman;Times;serif"/>
          <w:color w:val="000000"/>
          <w:sz w:val="20"/>
          <w:u w:val="single"/>
        </w:rPr>
        <w:t>Affirmative Covenants</w:t>
      </w:r>
      <w:r>
        <w:rPr>
          <w:rFonts w:ascii="Times New Roman;Times;serif" w:hAnsi="Times New Roman;Times;serif"/>
          <w:color w:val="000000"/>
          <w:sz w:val="20"/>
        </w:rPr>
        <w:t>. As long as any portion of this Note remains outstanding, except with the consent of the Majority Holders, the Company shall, and shall cause each of its Subsidiaries to:</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1440" w:right="0" w:firstLine="720"/>
        <w:jc w:val="both"/>
        <w:rPr>
          <w:rFonts w:ascii="Times New Roman;Times;serif" w:hAnsi="Times New Roman;Times;serif"/>
          <w:color w:val="000000"/>
          <w:sz w:val="20"/>
        </w:rPr>
      </w:pPr>
      <w:r>
        <w:rPr>
          <w:rFonts w:ascii="Times New Roman;Times;serif" w:hAnsi="Times New Roman;Times;serif"/>
          <w:color w:val="000000"/>
          <w:sz w:val="20"/>
        </w:rPr>
        <w:t>(i)          preserve and maintain its legal existence, rights, franchises and privileges in the jurisdiction of its incorporation, and qualify and remain qualified as a foreign business entity in each jurisdiction in which qualification is necessary in view of its business and operations or the ownership of its properties and where failure maintain or qualify could reasonably be expected to have a Material Adverse Effect;</w:t>
      </w:r>
    </w:p>
    <w:p>
      <w:pPr>
        <w:pStyle w:val="TextBody"/>
        <w:bidi w:val="0"/>
        <w:spacing w:lineRule="auto" w:line="300"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B - 14</w:t>
      </w:r>
    </w:p>
    <w:p>
      <w:pPr>
        <w:pStyle w:val="HorizontalLine"/>
        <w:pBdr>
          <w:bottom w:val="single" w:sz="12" w:space="0" w:color="808080"/>
        </w:pBdr>
        <w:bidi w:val="0"/>
        <w:spacing w:lineRule="auto" w:line="300" w:before="200" w:after="200"/>
        <w:jc w:val="left"/>
        <w:rPr/>
      </w:pPr>
      <w:r>
        <w:rPr/>
      </w:r>
    </w:p>
    <w:p>
      <w:pPr>
        <w:pStyle w:val="TextBody"/>
        <w:bidi w:val="0"/>
        <w:spacing w:lineRule="auto" w:line="300" w:before="0" w:after="0"/>
        <w:ind w:left="1440" w:right="0" w:firstLine="720"/>
        <w:jc w:val="both"/>
        <w:rPr>
          <w:rFonts w:ascii="Times New Roman;Times;serif" w:hAnsi="Times New Roman;Times;serif"/>
          <w:color w:val="000000"/>
          <w:sz w:val="20"/>
        </w:rPr>
      </w:pPr>
      <w:r>
        <w:rPr>
          <w:rFonts w:ascii="Times New Roman;Times;serif" w:hAnsi="Times New Roman;Times;serif"/>
          <w:color w:val="000000"/>
          <w:sz w:val="20"/>
        </w:rPr>
        <w:t>(ii)          provide to Agent, promptly upon becoming aware thereof (and in any event within three (3) days after the occurrence thereof), a notice of each Event of Default known to an executive officer of the Company, together with a statement of such executive officer setting forth the details of such Event of Default and the actions which the Company has taken and proposes to take with respect thereto;</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1440" w:right="0" w:firstLine="720"/>
        <w:jc w:val="both"/>
        <w:rPr>
          <w:rFonts w:ascii="Times New Roman;Times;serif" w:hAnsi="Times New Roman;Times;serif"/>
          <w:color w:val="000000"/>
          <w:sz w:val="20"/>
        </w:rPr>
      </w:pPr>
      <w:r>
        <w:rPr>
          <w:rFonts w:ascii="Times New Roman;Times;serif" w:hAnsi="Times New Roman;Times;serif"/>
          <w:color w:val="000000"/>
          <w:sz w:val="20"/>
        </w:rPr>
        <w:t>(iii)          (a) pay and discharge as the same shall become due and payable: (i) all tax liabilities, assessments and governmental charges or levies upon it or its properties or assets, unless the same are being contested in good faith by appropriate proceedings diligently conducted (which proceedings have the effect of preventing the forfeiture or sale of the property or assets subject to any such Lien) and adequate reserves in accordance with GAAP are being maintained by the Company or such Subsidiary; (ii) all lawful claims which, if unpaid, would by law become a Lien upon its property, unless the same are being contested in good faith by appropriate proceedings diligently conducted (which proceedings have the effect of preventing the forfeiture or sale of the property or assets subject to any such Lien) and adequate reserves in accordance with GAAP are being maintained by the Company or such Subsidiary; and (iii) all Indebtedness, as and when due and payable, but subject to the terms of this Note; and (b) timely file all material tax returns required to be filed (subject to any valid extension);</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1440" w:right="0" w:firstLine="720"/>
        <w:jc w:val="both"/>
        <w:rPr>
          <w:rFonts w:ascii="Times New Roman;Times;serif" w:hAnsi="Times New Roman;Times;serif"/>
          <w:color w:val="000000"/>
          <w:sz w:val="20"/>
        </w:rPr>
      </w:pPr>
      <w:r>
        <w:rPr>
          <w:rFonts w:ascii="Times New Roman;Times;serif" w:hAnsi="Times New Roman;Times;serif"/>
          <w:color w:val="000000"/>
          <w:sz w:val="20"/>
        </w:rPr>
        <w:t>(iv)          (a) maintain, preserve and protect all of its material properties and equipment necessary in the operation of its business in good working order and condition, ordinary wear and tear excepted; and (b) make all necessary repairs thereto and renewals and replacements thereof except where the failure to do so could not reasonably be expected to have a Material Adverse Effect;</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1440" w:right="0" w:firstLine="720"/>
        <w:jc w:val="both"/>
        <w:rPr>
          <w:rFonts w:ascii="Times New Roman;Times;serif" w:hAnsi="Times New Roman;Times;serif"/>
          <w:color w:val="000000"/>
          <w:sz w:val="20"/>
        </w:rPr>
      </w:pPr>
      <w:r>
        <w:rPr>
          <w:rFonts w:ascii="Times New Roman;Times;serif" w:hAnsi="Times New Roman;Times;serif"/>
          <w:color w:val="000000"/>
          <w:sz w:val="20"/>
        </w:rPr>
        <w:t>(v)          comply in all material respects with the requirements of all applicable laws and all orders, writs, injunctions and decrees applicable to it or to its business or property;</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1440" w:right="0" w:firstLine="720"/>
        <w:jc w:val="both"/>
        <w:rPr>
          <w:rFonts w:ascii="Times New Roman;Times;serif" w:hAnsi="Times New Roman;Times;serif"/>
          <w:color w:val="000000"/>
          <w:sz w:val="20"/>
        </w:rPr>
      </w:pPr>
      <w:r>
        <w:rPr>
          <w:rFonts w:ascii="Times New Roman;Times;serif" w:hAnsi="Times New Roman;Times;serif"/>
          <w:color w:val="000000"/>
          <w:sz w:val="20"/>
        </w:rPr>
        <w:t>(vi)          [</w:t>
      </w:r>
      <w:r>
        <w:rPr>
          <w:rFonts w:ascii="Times New Roman;Times;serif" w:hAnsi="Times New Roman;Times;serif"/>
          <w:i/>
          <w:color w:val="000000"/>
          <w:sz w:val="20"/>
        </w:rPr>
        <w:t>reserved</w:t>
      </w:r>
      <w:r>
        <w:rPr>
          <w:rFonts w:ascii="Times New Roman;Times;serif" w:hAnsi="Times New Roman;Times;serif"/>
          <w:color w:val="000000"/>
          <w:sz w:val="20"/>
        </w:rPr>
        <w:t>];</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1440" w:right="0" w:firstLine="720"/>
        <w:jc w:val="both"/>
        <w:rPr>
          <w:rFonts w:ascii="Times New Roman;Times;serif" w:hAnsi="Times New Roman;Times;serif"/>
          <w:color w:val="000000"/>
          <w:sz w:val="20"/>
        </w:rPr>
      </w:pPr>
      <w:r>
        <w:rPr>
          <w:rFonts w:ascii="Times New Roman;Times;serif" w:hAnsi="Times New Roman;Times;serif"/>
          <w:color w:val="000000"/>
          <w:sz w:val="20"/>
        </w:rPr>
        <w:t>(vii)          maintain (a) insurance with financially sound and reputable insurance companies in at least the amounts (and with only those deductibles) customarily maintained, and against such risks as are typically insured against, by Persons of comparable size engaged in the same or similar business as the Company and its Subsidiaries; and (b) all worker’s compensation, employer’s liability insurance or similar insurance as may be required under the laws of any state or jurisdiction in which it may be engaged in business.  On and after the date that is thirty (30) days following the Closing Date, all such insurance policies required pursuant to clause (a) of this Section shall name the Agent as a loss payee (in the case of property or other casualty insurance) and an additional insured (in the case of liability insurance);</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1440" w:right="0" w:firstLine="720"/>
        <w:jc w:val="both"/>
        <w:rPr>
          <w:rFonts w:ascii="Times New Roman;Times;serif" w:hAnsi="Times New Roman;Times;serif"/>
          <w:color w:val="000000"/>
          <w:sz w:val="20"/>
        </w:rPr>
      </w:pPr>
      <w:r>
        <w:rPr>
          <w:rFonts w:ascii="Times New Roman;Times;serif" w:hAnsi="Times New Roman;Times;serif"/>
          <w:color w:val="000000"/>
          <w:sz w:val="20"/>
        </w:rPr>
        <w:t xml:space="preserve">(viii)          cause all payments due under this Note to (a) rank </w:t>
      </w:r>
      <w:r>
        <w:rPr>
          <w:rFonts w:ascii="Times New Roman;Times;serif" w:hAnsi="Times New Roman;Times;serif"/>
          <w:i/>
          <w:color w:val="000000"/>
          <w:sz w:val="20"/>
        </w:rPr>
        <w:t xml:space="preserve">pari passu </w:t>
      </w:r>
      <w:r>
        <w:rPr>
          <w:rFonts w:ascii="Times New Roman;Times;serif" w:hAnsi="Times New Roman;Times;serif"/>
          <w:color w:val="000000"/>
          <w:sz w:val="20"/>
        </w:rPr>
        <w:t>with each of (x) all other Notes, (y) all Additional Notes, and (z) all Existing Notes, and (b) be senior to all other Indebtedness of the Company and its Subsidiaries, subject to Permitted Liens.</w:t>
      </w:r>
    </w:p>
    <w:p>
      <w:pPr>
        <w:pStyle w:val="TextBody"/>
        <w:bidi w:val="0"/>
        <w:spacing w:lineRule="auto" w:line="300"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B - 15</w:t>
      </w:r>
    </w:p>
    <w:p>
      <w:pPr>
        <w:pStyle w:val="HorizontalLine"/>
        <w:pBdr>
          <w:bottom w:val="single" w:sz="12" w:space="0" w:color="808080"/>
        </w:pBdr>
        <w:bidi w:val="0"/>
        <w:spacing w:lineRule="auto" w:line="300" w:before="200" w:after="200"/>
        <w:jc w:val="left"/>
        <w:rPr/>
      </w:pPr>
      <w:r>
        <w:rPr/>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u w:val="single"/>
        </w:rPr>
        <w:t>Section 8</w:t>
      </w:r>
      <w:r>
        <w:rPr>
          <w:rFonts w:ascii="Times New Roman;Times;serif" w:hAnsi="Times New Roman;Times;serif"/>
          <w:color w:val="000000"/>
          <w:sz w:val="20"/>
        </w:rPr>
        <w:t>.          </w:t>
      </w:r>
      <w:r>
        <w:rPr>
          <w:rFonts w:ascii="Times New Roman;Times;serif" w:hAnsi="Times New Roman;Times;serif"/>
          <w:color w:val="000000"/>
          <w:sz w:val="20"/>
          <w:u w:val="single"/>
        </w:rPr>
        <w:t>Events of Default</w:t>
      </w:r>
      <w:r>
        <w:rPr>
          <w:rFonts w:ascii="Times New Roman;Times;serif" w:hAnsi="Times New Roman;Times;serif"/>
          <w:color w:val="000000"/>
          <w:sz w:val="20"/>
        </w:rPr>
        <w:t>.</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(a)          “</w:t>
      </w:r>
      <w:r>
        <w:rPr>
          <w:rFonts w:ascii="Times New Roman;Times;serif" w:hAnsi="Times New Roman;Times;serif"/>
          <w:color w:val="000000"/>
          <w:sz w:val="20"/>
          <w:u w:val="single"/>
        </w:rPr>
        <w:t>Event of Default</w:t>
      </w:r>
      <w:r>
        <w:rPr>
          <w:rFonts w:ascii="Times New Roman;Times;serif" w:hAnsi="Times New Roman;Times;serif"/>
          <w:color w:val="000000"/>
          <w:sz w:val="20"/>
        </w:rPr>
        <w:t>” means, wherever used herein, any of the following events (whatever the reason for such event and whether such event shall be voluntary or involuntary or effected by operation of law or pursuant to any judgment, decree or order of any court, or any order, rule or regulation of any administrative or governmental body):</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1440" w:right="0" w:firstLine="720"/>
        <w:jc w:val="both"/>
        <w:rPr>
          <w:rFonts w:ascii="Times New Roman;Times;serif" w:hAnsi="Times New Roman;Times;serif"/>
          <w:color w:val="000000"/>
          <w:sz w:val="20"/>
        </w:rPr>
      </w:pPr>
      <w:r>
        <w:rPr>
          <w:rFonts w:ascii="Times New Roman;Times;serif" w:hAnsi="Times New Roman;Times;serif"/>
          <w:color w:val="000000"/>
          <w:sz w:val="20"/>
        </w:rPr>
        <w:t xml:space="preserve">(i)          any default in the payment of (A) the principal amount of any Note or (B) interest, liquidated damages and other amounts owing to a Holder on any Note, as and when the same shall become due and payable (whether on a Conversion Date or the Maturity Date or by acceleration or otherwise) which default, solely in the case of an interest payment or other default under </w:t>
      </w:r>
      <w:r>
        <w:rPr>
          <w:rFonts w:ascii="Times New Roman;Times;serif" w:hAnsi="Times New Roman;Times;serif"/>
          <w:color w:val="000000"/>
          <w:sz w:val="20"/>
          <w:u w:val="single"/>
        </w:rPr>
        <w:t>clause (B</w:t>
      </w:r>
      <w:r>
        <w:rPr>
          <w:rFonts w:ascii="Times New Roman;Times;serif" w:hAnsi="Times New Roman;Times;serif"/>
          <w:color w:val="000000"/>
          <w:sz w:val="20"/>
        </w:rPr>
        <w:t>) above, is not cured within three (3) Trading Days;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1440" w:right="0" w:firstLine="720"/>
        <w:jc w:val="both"/>
        <w:rPr>
          <w:rFonts w:ascii="Times New Roman;Times;serif" w:hAnsi="Times New Roman;Times;serif"/>
          <w:color w:val="000000"/>
          <w:sz w:val="20"/>
        </w:rPr>
      </w:pPr>
      <w:r>
        <w:rPr>
          <w:rFonts w:ascii="Times New Roman;Times;serif" w:hAnsi="Times New Roman;Times;serif"/>
          <w:color w:val="000000"/>
          <w:sz w:val="20"/>
        </w:rPr>
        <w:t xml:space="preserve">(ii)          the Company shall fail to observe or perform any other covenant or agreement contained in the Notes (other than a breach by the Company of its obligations to deliver Ordinary Shares to the Holder upon conversion, which breach is addressed in </w:t>
      </w:r>
      <w:r>
        <w:rPr>
          <w:rFonts w:ascii="Times New Roman;Times;serif" w:hAnsi="Times New Roman;Times;serif"/>
          <w:color w:val="000000"/>
          <w:sz w:val="20"/>
          <w:u w:val="single"/>
        </w:rPr>
        <w:t>clause (xii</w:t>
      </w:r>
      <w:r>
        <w:rPr>
          <w:rFonts w:ascii="Times New Roman;Times;serif" w:hAnsi="Times New Roman;Times;serif"/>
          <w:color w:val="000000"/>
          <w:sz w:val="20"/>
        </w:rPr>
        <w:t>) below) or in any Transaction Document, which failure is not cured, if possible to cure, within the earlier to occur of (A) ten (10) Trading Days after notice of such failure sent by the Holder or by any other Holder to the Company and (B) twenty (20) Trading Days after the Company has become aware of such failure;</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1440" w:right="0" w:firstLine="720"/>
        <w:jc w:val="both"/>
        <w:rPr>
          <w:rFonts w:ascii="Times New Roman;Times;serif" w:hAnsi="Times New Roman;Times;serif"/>
          <w:color w:val="000000"/>
          <w:sz w:val="20"/>
        </w:rPr>
      </w:pPr>
      <w:r>
        <w:rPr>
          <w:rFonts w:ascii="Times New Roman;Times;serif" w:hAnsi="Times New Roman;Times;serif"/>
          <w:color w:val="000000"/>
          <w:sz w:val="20"/>
        </w:rPr>
        <w:t xml:space="preserve">(iii)          a default or event of default (subject to any grace or cure period provided in the applicable agreement, document or instrument) shall occur under (A) any of the Transaction Documents or (B) any other material agreement, lease, document or instrument to which the Company or any Subsidiary is obligated (and not covered by </w:t>
      </w:r>
      <w:r>
        <w:rPr>
          <w:rFonts w:ascii="Times New Roman;Times;serif" w:hAnsi="Times New Roman;Times;serif"/>
          <w:color w:val="000000"/>
          <w:sz w:val="20"/>
          <w:u w:val="single"/>
        </w:rPr>
        <w:t>clause (vi</w:t>
      </w:r>
      <w:r>
        <w:rPr>
          <w:rFonts w:ascii="Times New Roman;Times;serif" w:hAnsi="Times New Roman;Times;serif"/>
          <w:color w:val="000000"/>
          <w:sz w:val="20"/>
        </w:rPr>
        <w:t>) below);</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1440" w:right="0" w:firstLine="720"/>
        <w:jc w:val="both"/>
        <w:rPr>
          <w:rFonts w:ascii="Times New Roman;Times;serif" w:hAnsi="Times New Roman;Times;serif"/>
          <w:color w:val="000000"/>
          <w:sz w:val="20"/>
        </w:rPr>
      </w:pPr>
      <w:r>
        <w:rPr>
          <w:rFonts w:ascii="Times New Roman;Times;serif" w:hAnsi="Times New Roman;Times;serif"/>
          <w:color w:val="000000"/>
          <w:sz w:val="20"/>
        </w:rPr>
        <w:t>(iv)          any representation or warranty made in this Note, any other Transaction Documents, any written statement pursuant hereto or thereto or any other report, financial statement or certificate made or delivered to the Holder or any other Holder shall be untrue or incorrect in any material respect as of the date when made or deemed made;</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1440" w:right="0" w:firstLine="720"/>
        <w:jc w:val="both"/>
        <w:rPr>
          <w:rFonts w:ascii="Times New Roman;Times;serif" w:hAnsi="Times New Roman;Times;serif"/>
          <w:color w:val="000000"/>
          <w:sz w:val="20"/>
        </w:rPr>
      </w:pPr>
      <w:r>
        <w:rPr>
          <w:rFonts w:ascii="Times New Roman;Times;serif" w:hAnsi="Times New Roman;Times;serif"/>
          <w:color w:val="000000"/>
          <w:sz w:val="20"/>
        </w:rPr>
        <w:t>(v)          the Company or any Subsidiary shall be subject to a Bankruptcy Event;</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1440" w:right="0" w:firstLine="720"/>
        <w:jc w:val="both"/>
        <w:rPr>
          <w:rFonts w:ascii="Times New Roman;Times;serif" w:hAnsi="Times New Roman;Times;serif"/>
          <w:color w:val="000000"/>
          <w:sz w:val="20"/>
        </w:rPr>
      </w:pPr>
      <w:r>
        <w:rPr>
          <w:rFonts w:ascii="Times New Roman;Times;serif" w:hAnsi="Times New Roman;Times;serif"/>
          <w:color w:val="000000"/>
          <w:sz w:val="20"/>
        </w:rPr>
        <w:t>(vi)          the Company or any Subsidiary shall default on any of its obligations under any Indebtedness, that (a) involves an obligation greater than $500,000, whether such Indebtedness now exists or shall hereafter be created, and (b) results in such Indebtedness in excess of $500,000 becoming or being declared due and payable prior to the date on which it would otherwise become due and payable;</w:t>
      </w:r>
    </w:p>
    <w:p>
      <w:pPr>
        <w:pStyle w:val="TextBody"/>
        <w:bidi w:val="0"/>
        <w:spacing w:lineRule="auto" w:line="300"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B - 16</w:t>
      </w:r>
    </w:p>
    <w:p>
      <w:pPr>
        <w:pStyle w:val="HorizontalLine"/>
        <w:pBdr>
          <w:bottom w:val="single" w:sz="12" w:space="0" w:color="808080"/>
        </w:pBdr>
        <w:bidi w:val="0"/>
        <w:spacing w:lineRule="auto" w:line="300" w:before="200" w:after="200"/>
        <w:jc w:val="left"/>
        <w:rPr/>
      </w:pPr>
      <w:r>
        <w:rPr/>
      </w:r>
    </w:p>
    <w:p>
      <w:pPr>
        <w:pStyle w:val="TextBody"/>
        <w:bidi w:val="0"/>
        <w:spacing w:lineRule="auto" w:line="300" w:before="0" w:after="0"/>
        <w:ind w:left="1440" w:right="0" w:firstLine="720"/>
        <w:jc w:val="both"/>
        <w:rPr>
          <w:rFonts w:ascii="Times New Roman;Times;serif" w:hAnsi="Times New Roman;Times;serif"/>
          <w:color w:val="000000"/>
          <w:sz w:val="20"/>
        </w:rPr>
      </w:pPr>
      <w:r>
        <w:rPr>
          <w:rFonts w:ascii="Times New Roman;Times;serif" w:hAnsi="Times New Roman;Times;serif"/>
          <w:color w:val="000000"/>
          <w:sz w:val="20"/>
        </w:rPr>
        <w:t>(vii)          the Ordinary Shares shall not be eligible for listing or quotation for trading on a Trading Market and shall not be eligible to resume listing or quotation for trading thereon within five (5) Trading Days;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1440" w:right="0" w:firstLine="720"/>
        <w:jc w:val="both"/>
        <w:rPr>
          <w:rFonts w:ascii="Times New Roman;Times;serif" w:hAnsi="Times New Roman;Times;serif"/>
          <w:color w:val="000000"/>
          <w:sz w:val="20"/>
        </w:rPr>
      </w:pPr>
      <w:r>
        <w:rPr>
          <w:rFonts w:ascii="Times New Roman;Times;serif" w:hAnsi="Times New Roman;Times;serif"/>
          <w:color w:val="000000"/>
          <w:sz w:val="20"/>
        </w:rPr>
        <w:t>(viii)          the Company (and all of its Subsidiaries, taken as a whole) shall be a party to any (A) Change of Control Transaction or (B) Fundamental Transaction;</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1440" w:right="0" w:firstLine="720"/>
        <w:jc w:val="both"/>
        <w:rPr>
          <w:rFonts w:ascii="Times New Roman;Times;serif" w:hAnsi="Times New Roman;Times;serif"/>
          <w:color w:val="000000"/>
          <w:sz w:val="20"/>
        </w:rPr>
      </w:pPr>
      <w:r>
        <w:rPr>
          <w:rFonts w:ascii="Times New Roman;Times;serif" w:hAnsi="Times New Roman;Times;serif"/>
          <w:color w:val="000000"/>
          <w:sz w:val="20"/>
        </w:rPr>
        <w:t>(ix)          [</w:t>
      </w:r>
      <w:r>
        <w:rPr>
          <w:rFonts w:ascii="Times New Roman;Times;serif" w:hAnsi="Times New Roman;Times;serif"/>
          <w:i/>
          <w:color w:val="000000"/>
          <w:sz w:val="20"/>
        </w:rPr>
        <w:t>reserved</w:t>
      </w:r>
      <w:r>
        <w:rPr>
          <w:rFonts w:ascii="Times New Roman;Times;serif" w:hAnsi="Times New Roman;Times;serif"/>
          <w:color w:val="000000"/>
          <w:sz w:val="20"/>
        </w:rPr>
        <w:t>];</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1440" w:right="0" w:firstLine="720"/>
        <w:jc w:val="both"/>
        <w:rPr>
          <w:rFonts w:ascii="Times New Roman;Times;serif" w:hAnsi="Times New Roman;Times;serif"/>
          <w:color w:val="000000"/>
          <w:sz w:val="20"/>
        </w:rPr>
      </w:pPr>
      <w:r>
        <w:rPr>
          <w:rFonts w:ascii="Times New Roman;Times;serif" w:hAnsi="Times New Roman;Times;serif"/>
          <w:color w:val="000000"/>
          <w:sz w:val="20"/>
        </w:rPr>
        <w:t>(x)          [</w:t>
      </w:r>
      <w:r>
        <w:rPr>
          <w:rFonts w:ascii="Times New Roman;Times;serif" w:hAnsi="Times New Roman;Times;serif"/>
          <w:i/>
          <w:color w:val="000000"/>
          <w:sz w:val="20"/>
        </w:rPr>
        <w:t>reserved</w:t>
      </w:r>
      <w:r>
        <w:rPr>
          <w:rFonts w:ascii="Times New Roman;Times;serif" w:hAnsi="Times New Roman;Times;serif"/>
          <w:color w:val="000000"/>
          <w:sz w:val="20"/>
        </w:rPr>
        <w:t>];</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1440" w:right="0" w:firstLine="720"/>
        <w:jc w:val="both"/>
        <w:rPr>
          <w:rFonts w:ascii="Times New Roman;Times;serif" w:hAnsi="Times New Roman;Times;serif"/>
          <w:color w:val="000000"/>
          <w:sz w:val="20"/>
        </w:rPr>
      </w:pPr>
      <w:r>
        <w:rPr>
          <w:rFonts w:ascii="Times New Roman;Times;serif" w:hAnsi="Times New Roman;Times;serif"/>
          <w:color w:val="000000"/>
          <w:sz w:val="20"/>
        </w:rPr>
        <w:t>(xi)          the occurrence of any Public Information Failure (as defined in the Purchase Agreement) that remains uncured for at least ten (10) calendar days or any restatement of any of the financial statements included in any Annual Report on Form 10-K or Current Report on Form 8-K of the Company;</w:t>
      </w:r>
    </w:p>
    <w:p>
      <w:pPr>
        <w:pStyle w:val="TextBody"/>
        <w:bidi w:val="0"/>
        <w:spacing w:lineRule="auto" w:line="300" w:before="0" w:after="0"/>
        <w:jc w:val="left"/>
        <w:rPr>
          <w:color w:val="000000"/>
        </w:rPr>
      </w:pPr>
      <w:r>
        <w:rPr>
          <w:color w:val="000000"/>
        </w:rPr>
        <w:t> </w:t>
      </w:r>
    </w:p>
    <w:p>
      <w:pPr>
        <w:pStyle w:val="TextBody"/>
        <w:bidi w:val="0"/>
        <w:spacing w:lineRule="auto" w:line="240" w:before="0" w:after="0"/>
        <w:ind w:left="1440" w:right="0" w:firstLine="720"/>
        <w:jc w:val="both"/>
        <w:rPr>
          <w:rFonts w:ascii="Times New Roman;Times;serif" w:hAnsi="Times New Roman;Times;serif"/>
          <w:color w:val="000000"/>
          <w:sz w:val="20"/>
        </w:rPr>
      </w:pPr>
      <w:r>
        <w:rPr>
          <w:rFonts w:ascii="Times New Roman;Times;serif" w:hAnsi="Times New Roman;Times;serif"/>
          <w:color w:val="000000"/>
          <w:sz w:val="20"/>
        </w:rPr>
        <w:t xml:space="preserve">(xii)          the Company shall fail for any reason to deliver Conversion Shares to a Holder prior to the fifth (5th) Trading Day after a Conversion Date pursuant to </w:t>
      </w:r>
      <w:r>
        <w:rPr>
          <w:rFonts w:ascii="Times New Roman;Times;serif" w:hAnsi="Times New Roman;Times;serif"/>
          <w:color w:val="000000"/>
          <w:sz w:val="20"/>
          <w:u w:val="single"/>
        </w:rPr>
        <w:t>Section 4(c</w:t>
      </w:r>
      <w:r>
        <w:rPr>
          <w:rFonts w:ascii="Times New Roman;Times;serif" w:hAnsi="Times New Roman;Times;serif"/>
          <w:color w:val="000000"/>
          <w:sz w:val="20"/>
        </w:rPr>
        <w:t>) or Exercise Date (as defined in the Warrants), or the Company shall provide at any time notice to the Holder, including by way of public announcement, of the Company’s intention to not honor requests for conversions of any Notes in accordance with the terms hereof;</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1440" w:right="0" w:firstLine="720"/>
        <w:jc w:val="both"/>
        <w:rPr>
          <w:rFonts w:ascii="Times New Roman;Times;serif" w:hAnsi="Times New Roman;Times;serif"/>
          <w:color w:val="000000"/>
          <w:sz w:val="20"/>
        </w:rPr>
      </w:pPr>
      <w:r>
        <w:rPr>
          <w:rFonts w:ascii="Times New Roman;Times;serif" w:hAnsi="Times New Roman;Times;serif"/>
          <w:color w:val="000000"/>
          <w:sz w:val="20"/>
        </w:rPr>
        <w:t>(xiii)          the electronic transfer by the Company of Ordinary Shares through the Depository Trust Company or another established clearing corporation is no longer available or is subject to a “chill”;</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1440" w:right="0" w:firstLine="720"/>
        <w:jc w:val="both"/>
        <w:rPr>
          <w:rFonts w:ascii="Times New Roman;Times;serif" w:hAnsi="Times New Roman;Times;serif"/>
          <w:color w:val="000000"/>
          <w:sz w:val="20"/>
        </w:rPr>
      </w:pPr>
      <w:r>
        <w:rPr>
          <w:rFonts w:ascii="Times New Roman;Times;serif" w:hAnsi="Times New Roman;Times;serif"/>
          <w:color w:val="000000"/>
          <w:sz w:val="20"/>
        </w:rPr>
        <w:t>(xiv)          any final, non-appealable monetary judgment, writ or similar final process shall be entered or filed against the Company, any Subsidiary or any of their respective property or other assets for more than $250,000 (to the extent not covered by insurance for which the carrier has not disclaimed liability), and such judgment, writ or similar final process shall remain unvacated, unsatisfied, unbonded or unstayed for a period of 45 calendar days;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1440" w:right="0" w:firstLine="720"/>
        <w:jc w:val="both"/>
        <w:rPr>
          <w:rFonts w:ascii="Times New Roman;Times;serif" w:hAnsi="Times New Roman;Times;serif"/>
          <w:color w:val="000000"/>
          <w:sz w:val="20"/>
        </w:rPr>
      </w:pPr>
      <w:r>
        <w:rPr>
          <w:rFonts w:ascii="Times New Roman;Times;serif" w:hAnsi="Times New Roman;Times;serif"/>
          <w:color w:val="000000"/>
          <w:sz w:val="20"/>
        </w:rPr>
        <w:t>(xv)          any Security Document shall for any reason (other than solely as a result of any action or inaction by the Secured Parties (as defined in the Security Agreement)) fail or cease to create a valid Lien on any material portion of the Collateral (as defined in the Security Agreement) in favor of the Holder (or, to the extent applicable, the Agent on behalf of the Holders); or any material provision of any Security Document shall at any time for any reason (other than solely as a result of any action or inaction by the Secured Parties (as defined in the Security Agreement)) cease to be valid and binding on or enforceable against the Company, the validity or enforceability thereof shall be contested by the Company, or a proceeding shall be commenced by the Company, or any governmental authority having jurisdiction over the Company, seeking to establish the invalidity or unenforceability thereof;</w:t>
      </w:r>
    </w:p>
    <w:p>
      <w:pPr>
        <w:pStyle w:val="TextBody"/>
        <w:bidi w:val="0"/>
        <w:spacing w:lineRule="auto" w:line="300"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B - 17</w:t>
      </w:r>
    </w:p>
    <w:p>
      <w:pPr>
        <w:pStyle w:val="HorizontalLine"/>
        <w:pBdr>
          <w:bottom w:val="single" w:sz="12" w:space="0" w:color="808080"/>
        </w:pBdr>
        <w:bidi w:val="0"/>
        <w:spacing w:lineRule="auto" w:line="300" w:before="200" w:after="200"/>
        <w:jc w:val="left"/>
        <w:rPr/>
      </w:pPr>
      <w:r>
        <w:rPr/>
      </w:r>
    </w:p>
    <w:p>
      <w:pPr>
        <w:pStyle w:val="TextBody"/>
        <w:bidi w:val="0"/>
        <w:spacing w:lineRule="auto" w:line="300" w:before="0" w:after="0"/>
        <w:ind w:left="1440" w:right="0" w:firstLine="720"/>
        <w:jc w:val="both"/>
        <w:rPr>
          <w:rFonts w:ascii="Times New Roman;Times;serif" w:hAnsi="Times New Roman;Times;serif"/>
          <w:color w:val="000000"/>
          <w:sz w:val="20"/>
        </w:rPr>
      </w:pPr>
      <w:r>
        <w:rPr>
          <w:rFonts w:ascii="Times New Roman;Times;serif" w:hAnsi="Times New Roman;Times;serif"/>
          <w:color w:val="000000"/>
          <w:sz w:val="20"/>
        </w:rPr>
        <w:t>(xvi)          the occurrence of a Material Adverse Effect; or</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1440" w:right="0" w:firstLine="720"/>
        <w:jc w:val="both"/>
        <w:rPr>
          <w:rFonts w:ascii="Times New Roman;Times;serif" w:hAnsi="Times New Roman;Times;serif"/>
          <w:color w:val="000000"/>
          <w:sz w:val="20"/>
        </w:rPr>
      </w:pPr>
      <w:r>
        <w:rPr>
          <w:rFonts w:ascii="Times New Roman;Times;serif" w:hAnsi="Times New Roman;Times;serif"/>
          <w:color w:val="000000"/>
          <w:sz w:val="20"/>
        </w:rPr>
        <w:t>(xvii)          an Authorized Share Failure occurs and the Company does not obtain the shareholder approval contemplated in Section 4(c)(vi) hereof within the time periods required by such Section.</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810"/>
        <w:jc w:val="both"/>
        <w:rPr>
          <w:rFonts w:ascii="Times New Roman;Times;serif" w:hAnsi="Times New Roman;Times;serif"/>
          <w:color w:val="000000"/>
          <w:sz w:val="20"/>
        </w:rPr>
      </w:pPr>
      <w:r>
        <w:rPr>
          <w:rFonts w:ascii="Times New Roman;Times;serif" w:hAnsi="Times New Roman;Times;serif"/>
          <w:color w:val="000000"/>
          <w:sz w:val="20"/>
        </w:rPr>
        <w:t>(b)          </w:t>
      </w:r>
      <w:r>
        <w:rPr>
          <w:rFonts w:ascii="Times New Roman;Times;serif" w:hAnsi="Times New Roman;Times;serif"/>
          <w:color w:val="000000"/>
          <w:sz w:val="20"/>
          <w:u w:val="single"/>
        </w:rPr>
        <w:t>Remedies Upon Event of Default</w:t>
      </w:r>
      <w:r>
        <w:rPr>
          <w:rFonts w:ascii="Times New Roman;Times;serif" w:hAnsi="Times New Roman;Times;serif"/>
          <w:color w:val="000000"/>
          <w:sz w:val="20"/>
        </w:rPr>
        <w:t xml:space="preserve">. If any Event of Default occurs and is continuing, the outstanding principal amount of this Note plus accrued but unpaid interest, liquidated damages and other amounts owing in respect thereof through the date of acceleration, shall become, at the election of the Majority Holders, immediately due and payable in cash; </w:t>
      </w:r>
      <w:r>
        <w:rPr>
          <w:rFonts w:ascii="Times New Roman;Times;serif" w:hAnsi="Times New Roman;Times;serif"/>
          <w:color w:val="000000"/>
          <w:sz w:val="20"/>
          <w:u w:val="single"/>
        </w:rPr>
        <w:t>provided</w:t>
      </w:r>
      <w:r>
        <w:rPr>
          <w:rFonts w:ascii="Times New Roman;Times;serif" w:hAnsi="Times New Roman;Times;serif"/>
          <w:color w:val="000000"/>
          <w:sz w:val="20"/>
        </w:rPr>
        <w:t> </w:t>
      </w:r>
      <w:r>
        <w:rPr>
          <w:rFonts w:ascii="Times New Roman;Times;serif" w:hAnsi="Times New Roman;Times;serif"/>
          <w:color w:val="000000"/>
          <w:sz w:val="20"/>
          <w:u w:val="single"/>
        </w:rPr>
        <w:t>that</w:t>
      </w:r>
      <w:r>
        <w:rPr>
          <w:rFonts w:ascii="Times New Roman;Times;serif" w:hAnsi="Times New Roman;Times;serif"/>
          <w:color w:val="000000"/>
          <w:sz w:val="20"/>
        </w:rPr>
        <w:t xml:space="preserve"> such acceleration shall be automatic, without any notice or other action of the Majority Holders is required, in respect of an Event of Default occurring pursuant to clause (v) of Section 8(a). Commencing five (5) days after the occurrence and continuance of any Event of Default (“</w:t>
      </w:r>
      <w:r>
        <w:rPr>
          <w:rFonts w:ascii="Times New Roman;Times;serif" w:hAnsi="Times New Roman;Times;serif"/>
          <w:color w:val="000000"/>
          <w:sz w:val="20"/>
          <w:u w:val="single"/>
        </w:rPr>
        <w:t>Interest Accrual Date</w:t>
      </w:r>
      <w:r>
        <w:rPr>
          <w:rFonts w:ascii="Times New Roman;Times;serif" w:hAnsi="Times New Roman;Times;serif"/>
          <w:color w:val="000000"/>
          <w:sz w:val="20"/>
        </w:rPr>
        <w:t>”), the interest on this Note shall accrue retroactively beginning on the Original Issue Date, at an interest rate equal to the lesser of 15.0% per annum or the maximum rate permitted under applicable law. In connection with such acceleration described herein, the Majority Holders need not provide, and the Company hereby waives, any presentment, demand, protest or other notice of any kind, and the Majority Holders may immediately and without expiration of any grace period enforce any and all of its rights and remedies hereunder and all other remedies available to it under applicable law. Such acceleration may be rescinded and annulled by the Majority Holders at any time prior to payment hereunder and the Holder shall have all rights as a holder of the Note until such time, if any, as the Holder receives full payment pursuant to this Section 8(b). No such rescission or annulment shall affect any subsequent Event of Default or impair any right consequent thereon. After the exercise of remedies provided for in this Section 8(b) or upon such automatic acceleration (as applicable), any amounts received by the Agent on account of this Note or any other Note (as such term is defined in the Security Agreement) shall be applied by the Agent in accordance with Section 9 of the Security Agreement.</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u w:val="single"/>
        </w:rPr>
        <w:t>Section 9.</w:t>
      </w:r>
      <w:r>
        <w:rPr>
          <w:rFonts w:ascii="Times New Roman;Times;serif" w:hAnsi="Times New Roman;Times;serif"/>
          <w:color w:val="000000"/>
          <w:sz w:val="20"/>
        </w:rPr>
        <w:t>          </w:t>
      </w:r>
      <w:r>
        <w:rPr>
          <w:rFonts w:ascii="Times New Roman;Times;serif" w:hAnsi="Times New Roman;Times;serif"/>
          <w:color w:val="000000"/>
          <w:sz w:val="20"/>
          <w:u w:val="single"/>
        </w:rPr>
        <w:t>Redemption</w:t>
      </w:r>
      <w:r>
        <w:rPr>
          <w:rFonts w:ascii="Times New Roman;Times;serif" w:hAnsi="Times New Roman;Times;serif"/>
          <w:color w:val="000000"/>
          <w:sz w:val="20"/>
        </w:rPr>
        <w:t>.</w:t>
      </w:r>
    </w:p>
    <w:p>
      <w:pPr>
        <w:pStyle w:val="TextBody"/>
        <w:bidi w:val="0"/>
        <w:spacing w:lineRule="auto" w:line="300" w:before="0" w:after="0"/>
        <w:jc w:val="left"/>
        <w:rPr>
          <w:color w:val="000000"/>
        </w:rPr>
      </w:pPr>
      <w:r>
        <w:rPr>
          <w:color w:val="000000"/>
        </w:rPr>
        <w:t> </w:t>
      </w:r>
    </w:p>
    <w:tbl>
      <w:tblPr>
        <w:tblW w:w="5463" w:type="dxa"/>
        <w:jc w:val="left"/>
        <w:tblInd w:w="0" w:type="dxa"/>
        <w:tblLayout w:type="fixed"/>
        <w:tblCellMar>
          <w:top w:w="0" w:type="dxa"/>
          <w:left w:w="0" w:type="dxa"/>
          <w:bottom w:w="0" w:type="dxa"/>
          <w:right w:w="0" w:type="dxa"/>
        </w:tblCellMar>
      </w:tblPr>
      <w:tblGrid>
        <w:gridCol w:w="38"/>
        <w:gridCol w:w="230"/>
        <w:gridCol w:w="5195"/>
      </w:tblGrid>
      <w:tr>
        <w:trPr/>
        <w:tc>
          <w:tcPr>
            <w:tcW w:w="38" w:type="dxa"/>
            <w:tcBorders/>
            <w:vAlign w:val="center"/>
          </w:tcPr>
          <w:p>
            <w:pPr>
              <w:pStyle w:val="TableContents"/>
              <w:bidi w:val="0"/>
              <w:spacing w:before="0" w:after="283"/>
              <w:jc w:val="left"/>
              <w:rPr/>
            </w:pPr>
            <w:r>
              <w:rPr/>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519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u w:val="single"/>
              </w:rPr>
              <w:t>Mandatory Redemption upon a Change of Control Transaction</w:t>
            </w:r>
            <w:r>
              <w:rPr>
                <w:rFonts w:ascii="Times New Roman;Times;serif" w:hAnsi="Times New Roman;Times;serif"/>
                <w:sz w:val="20"/>
              </w:rPr>
              <w:t>.</w:t>
            </w:r>
          </w:p>
        </w:tc>
      </w:tr>
    </w:tbl>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1260" w:right="0" w:firstLine="1266"/>
        <w:jc w:val="both"/>
        <w:rPr>
          <w:rFonts w:ascii="Times New Roman;Times;serif" w:hAnsi="Times New Roman;Times;serif"/>
          <w:color w:val="000000"/>
          <w:sz w:val="20"/>
        </w:rPr>
      </w:pPr>
      <w:r>
        <w:rPr>
          <w:rFonts w:ascii="Times New Roman;Times;serif" w:hAnsi="Times New Roman;Times;serif"/>
          <w:color w:val="000000"/>
          <w:sz w:val="20"/>
        </w:rPr>
        <w:t xml:space="preserve">(i)          At any time after the Original Issue Date, to the extent that there occurs a Change of Control Transaction, the Holder shall have the right, by delivering written notice to the Company, to cause the Company to redeem all or any portion of the Notes then outstanding, </w:t>
      </w:r>
      <w:r>
        <w:rPr>
          <w:rFonts w:ascii="Times New Roman;Times;serif" w:hAnsi="Times New Roman;Times;serif"/>
          <w:i/>
          <w:color w:val="000000"/>
          <w:sz w:val="20"/>
        </w:rPr>
        <w:t>plus</w:t>
      </w:r>
      <w:r>
        <w:rPr>
          <w:rFonts w:ascii="Times New Roman;Times;serif" w:hAnsi="Times New Roman;Times;serif"/>
          <w:color w:val="000000"/>
          <w:sz w:val="20"/>
        </w:rPr>
        <w:t xml:space="preserve"> all accrued and unpaid interest thereon (a “</w:t>
      </w:r>
      <w:r>
        <w:rPr>
          <w:rFonts w:ascii="Times New Roman;Times;serif" w:hAnsi="Times New Roman;Times;serif"/>
          <w:color w:val="000000"/>
          <w:sz w:val="20"/>
          <w:u w:val="single"/>
        </w:rPr>
        <w:t>Change of Control Redemption</w:t>
      </w:r>
      <w:r>
        <w:rPr>
          <w:rFonts w:ascii="Times New Roman;Times;serif" w:hAnsi="Times New Roman;Times;serif"/>
          <w:color w:val="000000"/>
          <w:sz w:val="20"/>
        </w:rPr>
        <w:t xml:space="preserve">”). The Notes subject to redemption pursuant to this Section 9(a) shall be redeemed by the Company in cash at a price equal to the product of (i) 105% and (ii) the aggregate principal amount of the Notes being redeemed, </w:t>
      </w:r>
      <w:r>
        <w:rPr>
          <w:rFonts w:ascii="Times New Roman;Times;serif" w:hAnsi="Times New Roman;Times;serif"/>
          <w:i/>
          <w:color w:val="000000"/>
          <w:sz w:val="20"/>
        </w:rPr>
        <w:t>plus</w:t>
      </w:r>
      <w:r>
        <w:rPr>
          <w:rFonts w:ascii="Times New Roman;Times;serif" w:hAnsi="Times New Roman;Times;serif"/>
          <w:color w:val="000000"/>
          <w:sz w:val="20"/>
        </w:rPr>
        <w:t xml:space="preserve"> and all accrued and unpaid interest thereon.</w:t>
      </w:r>
    </w:p>
    <w:p>
      <w:pPr>
        <w:pStyle w:val="TextBody"/>
        <w:bidi w:val="0"/>
        <w:spacing w:lineRule="auto" w:line="300"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B - 18</w:t>
      </w:r>
    </w:p>
    <w:p>
      <w:pPr>
        <w:pStyle w:val="HorizontalLine"/>
        <w:pBdr>
          <w:bottom w:val="single" w:sz="12" w:space="0" w:color="808080"/>
        </w:pBdr>
        <w:bidi w:val="0"/>
        <w:spacing w:lineRule="auto" w:line="300" w:before="200" w:after="200"/>
        <w:jc w:val="left"/>
        <w:rPr/>
      </w:pPr>
      <w:r>
        <w:rPr/>
      </w:r>
    </w:p>
    <w:p>
      <w:pPr>
        <w:pStyle w:val="TextBody"/>
        <w:bidi w:val="0"/>
        <w:spacing w:lineRule="auto" w:line="300" w:before="0" w:after="0"/>
        <w:ind w:left="1260" w:right="0" w:firstLine="1266"/>
        <w:jc w:val="both"/>
        <w:rPr>
          <w:rFonts w:ascii="Times New Roman;Times;serif" w:hAnsi="Times New Roman;Times;serif"/>
          <w:color w:val="000000"/>
          <w:sz w:val="20"/>
        </w:rPr>
      </w:pPr>
      <w:r>
        <w:rPr>
          <w:rFonts w:ascii="Times New Roman;Times;serif" w:hAnsi="Times New Roman;Times;serif"/>
          <w:color w:val="000000"/>
          <w:sz w:val="20"/>
        </w:rPr>
        <w:t>(ii)          With respect to any portion of this Note which has been specified to be redeemed by the Company pursuant to the Change of Control Redemption and which has been redeemed in accordance with the provisions of this Section 9(a), (i) such portion of this Note shall no longer be deemed outstanding and (ii) all rights with respect to such portion of this Note shall cease and terminate.</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1260" w:right="0" w:firstLine="1266"/>
        <w:jc w:val="both"/>
        <w:rPr>
          <w:rFonts w:ascii="Times New Roman;Times;serif" w:hAnsi="Times New Roman;Times;serif"/>
          <w:color w:val="000000"/>
          <w:sz w:val="20"/>
        </w:rPr>
      </w:pPr>
      <w:r>
        <w:rPr>
          <w:rFonts w:ascii="Times New Roman;Times;serif" w:hAnsi="Times New Roman;Times;serif"/>
          <w:color w:val="000000"/>
          <w:sz w:val="20"/>
        </w:rPr>
        <w:t>(iii)          In the event of the Company’s redemption of any portion of this Note under this Section 9(a), a Holder’s damages would be uncertain and difficult to estimate because of the parties’ inability to predict future interest rates and the uncertainty of the availability of a suitable substitute investment opportunity for such Holder. Accordingly, any redemption premium due under this Section 9(a) is intended by the parties to be, and shall be deemed, a reasonable estimate of such Holder’s actual loss of its investment opportunity and not as a penalty.</w:t>
      </w:r>
    </w:p>
    <w:p>
      <w:pPr>
        <w:pStyle w:val="TextBody"/>
        <w:bidi w:val="0"/>
        <w:spacing w:lineRule="auto" w:line="300" w:before="0" w:after="0"/>
        <w:jc w:val="left"/>
        <w:rPr>
          <w:color w:val="000000"/>
        </w:rPr>
      </w:pPr>
      <w:r>
        <w:rPr>
          <w:color w:val="000000"/>
        </w:rPr>
        <w:t> </w:t>
      </w:r>
    </w:p>
    <w:tbl>
      <w:tblPr>
        <w:tblW w:w="4653" w:type="dxa"/>
        <w:jc w:val="left"/>
        <w:tblInd w:w="0" w:type="dxa"/>
        <w:tblLayout w:type="fixed"/>
        <w:tblCellMar>
          <w:top w:w="0" w:type="dxa"/>
          <w:left w:w="0" w:type="dxa"/>
          <w:bottom w:w="0" w:type="dxa"/>
          <w:right w:w="0" w:type="dxa"/>
        </w:tblCellMar>
      </w:tblPr>
      <w:tblGrid>
        <w:gridCol w:w="38"/>
        <w:gridCol w:w="245"/>
        <w:gridCol w:w="4370"/>
      </w:tblGrid>
      <w:tr>
        <w:trPr/>
        <w:tc>
          <w:tcPr>
            <w:tcW w:w="38" w:type="dxa"/>
            <w:tcBorders/>
            <w:vAlign w:val="center"/>
          </w:tcPr>
          <w:p>
            <w:pPr>
              <w:pStyle w:val="TableContents"/>
              <w:bidi w:val="0"/>
              <w:spacing w:before="0" w:after="283"/>
              <w:jc w:val="left"/>
              <w:rPr/>
            </w:pPr>
            <w:r>
              <w:rPr/>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437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u w:val="single"/>
              </w:rPr>
              <w:t>Mandatory Redemption upon Financing Transaction</w:t>
            </w:r>
            <w:r>
              <w:rPr>
                <w:rFonts w:ascii="Times New Roman;Times;serif" w:hAnsi="Times New Roman;Times;serif"/>
                <w:sz w:val="20"/>
              </w:rPr>
              <w:t>.</w:t>
            </w:r>
          </w:p>
        </w:tc>
      </w:tr>
    </w:tbl>
    <w:p>
      <w:pPr>
        <w:pStyle w:val="TextBody"/>
        <w:bidi w:val="0"/>
        <w:spacing w:lineRule="auto" w:line="300" w:before="0" w:after="0"/>
        <w:jc w:val="left"/>
        <w:rPr>
          <w:color w:val="000000"/>
        </w:rPr>
      </w:pPr>
      <w:r>
        <w:rPr>
          <w:color w:val="000000"/>
        </w:rPr>
        <w:t> </w:t>
      </w:r>
    </w:p>
    <w:tbl>
      <w:tblPr>
        <w:tblW w:w="10205" w:type="dxa"/>
        <w:jc w:val="left"/>
        <w:tblInd w:w="0" w:type="dxa"/>
        <w:tblLayout w:type="fixed"/>
        <w:tblCellMar>
          <w:top w:w="0" w:type="dxa"/>
          <w:left w:w="0" w:type="dxa"/>
          <w:bottom w:w="0" w:type="dxa"/>
          <w:right w:w="0" w:type="dxa"/>
        </w:tblCellMar>
      </w:tblPr>
      <w:tblGrid>
        <w:gridCol w:w="38"/>
        <w:gridCol w:w="148"/>
        <w:gridCol w:w="10019"/>
      </w:tblGrid>
      <w:tr>
        <w:trPr/>
        <w:tc>
          <w:tcPr>
            <w:tcW w:w="38" w:type="dxa"/>
            <w:tcBorders/>
            <w:vAlign w:val="center"/>
          </w:tcPr>
          <w:p>
            <w:pPr>
              <w:pStyle w:val="TableContents"/>
              <w:bidi w:val="0"/>
              <w:spacing w:before="0" w:after="283"/>
              <w:jc w:val="left"/>
              <w:rPr/>
            </w:pPr>
            <w:r>
              <w:rPr/>
            </w:r>
          </w:p>
        </w:tc>
        <w:tc>
          <w:tcPr>
            <w:tcW w:w="1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1001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In the event (i) the Company or any of its Subsidiaries conducts an offering of its equity securities, or (ii) any Ordinary Share Equivalents of the Company outstanding as of the Original Issue Date are exercised or converted, as applicable, including, without limitation, any warrant inducement transactions of the Company, in each case, resulting in cash proceeds to the Company in connection therewith (a “</w:t>
            </w:r>
            <w:r>
              <w:rPr>
                <w:rFonts w:ascii="Times New Roman;Times;serif" w:hAnsi="Times New Roman;Times;serif"/>
                <w:sz w:val="20"/>
                <w:u w:val="single"/>
              </w:rPr>
              <w:t>Financing Transaction</w:t>
            </w:r>
            <w:r>
              <w:rPr>
                <w:rFonts w:ascii="Times New Roman;Times;serif" w:hAnsi="Times New Roman;Times;serif"/>
                <w:sz w:val="20"/>
              </w:rPr>
              <w:t>”), the Company shall, within ten (10) Business Days of the receipt of the proceeds of such Financing Transaction, apply 33% of such gross proceeds the (“</w:t>
            </w:r>
            <w:r>
              <w:rPr>
                <w:rFonts w:ascii="Times New Roman;Times;serif" w:hAnsi="Times New Roman;Times;serif"/>
                <w:sz w:val="20"/>
                <w:u w:val="single"/>
              </w:rPr>
              <w:t>Financing Transaction Proceeds Amount</w:t>
            </w:r>
            <w:r>
              <w:rPr>
                <w:rFonts w:ascii="Times New Roman;Times;serif" w:hAnsi="Times New Roman;Times;serif"/>
                <w:sz w:val="20"/>
              </w:rPr>
              <w:t>”) towards the redemption (each, a “</w:t>
            </w:r>
            <w:r>
              <w:rPr>
                <w:rFonts w:ascii="Times New Roman;Times;serif" w:hAnsi="Times New Roman;Times;serif"/>
                <w:sz w:val="20"/>
                <w:u w:val="single"/>
              </w:rPr>
              <w:t>Financing Transaction Mandatory Redemption</w:t>
            </w:r>
            <w:r>
              <w:rPr>
                <w:rFonts w:ascii="Times New Roman;Times;serif" w:hAnsi="Times New Roman;Times;serif"/>
                <w:sz w:val="20"/>
              </w:rPr>
              <w:t>”) of the Notes and the Existing Notes in accordance with the terms of Section 9(b)(ii) below.</w:t>
            </w:r>
          </w:p>
        </w:tc>
      </w:tr>
    </w:tbl>
    <w:p>
      <w:pPr>
        <w:pStyle w:val="TextBody"/>
        <w:bidi w:val="0"/>
        <w:spacing w:lineRule="auto" w:line="300" w:before="0" w:after="0"/>
        <w:jc w:val="left"/>
        <w:rPr>
          <w:color w:val="000000"/>
        </w:rPr>
      </w:pPr>
      <w:r>
        <w:rPr>
          <w:color w:val="000000"/>
        </w:rPr>
        <w:t> </w:t>
      </w:r>
    </w:p>
    <w:tbl>
      <w:tblPr>
        <w:tblW w:w="10205" w:type="dxa"/>
        <w:jc w:val="left"/>
        <w:tblInd w:w="0" w:type="dxa"/>
        <w:tblLayout w:type="fixed"/>
        <w:tblCellMar>
          <w:top w:w="0" w:type="dxa"/>
          <w:left w:w="0" w:type="dxa"/>
          <w:bottom w:w="0" w:type="dxa"/>
          <w:right w:w="0" w:type="dxa"/>
        </w:tblCellMar>
      </w:tblPr>
      <w:tblGrid>
        <w:gridCol w:w="38"/>
        <w:gridCol w:w="204"/>
        <w:gridCol w:w="9963"/>
      </w:tblGrid>
      <w:tr>
        <w:trPr/>
        <w:tc>
          <w:tcPr>
            <w:tcW w:w="38" w:type="dxa"/>
            <w:tcBorders/>
            <w:vAlign w:val="center"/>
          </w:tcPr>
          <w:p>
            <w:pPr>
              <w:pStyle w:val="TableContents"/>
              <w:bidi w:val="0"/>
              <w:spacing w:before="0" w:after="283"/>
              <w:jc w:val="left"/>
              <w:rPr/>
            </w:pPr>
            <w:r>
              <w:rPr/>
            </w:r>
          </w:p>
        </w:tc>
        <w:tc>
          <w:tcPr>
            <w:tcW w:w="2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996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 xml:space="preserve">Any Financing Transaction Mandatory Redemption payments shall be applied: (i) </w:t>
            </w:r>
            <w:r>
              <w:rPr>
                <w:rFonts w:ascii="Times New Roman;Times;serif" w:hAnsi="Times New Roman;Times;serif"/>
                <w:i/>
                <w:sz w:val="20"/>
              </w:rPr>
              <w:t>first</w:t>
            </w:r>
            <w:r>
              <w:rPr>
                <w:rFonts w:ascii="Times New Roman;Times;serif" w:hAnsi="Times New Roman;Times;serif"/>
                <w:sz w:val="20"/>
              </w:rPr>
              <w:t xml:space="preserve">, against any accrued and unpaid interest due and payable on the Initial Notes and the Existing Initial Notes (allocated pro rata as among the Initial Notes and the Existing Initial Notes and to each holder thereof on a pro rata basis in accordance with the aggregate principal amount of the Initial Notes and the Existing Initial Notes held thereby), (ii) </w:t>
            </w:r>
            <w:r>
              <w:rPr>
                <w:rFonts w:ascii="Times New Roman;Times;serif" w:hAnsi="Times New Roman;Times;serif"/>
                <w:i/>
                <w:sz w:val="20"/>
              </w:rPr>
              <w:t>second</w:t>
            </w:r>
            <w:r>
              <w:rPr>
                <w:rFonts w:ascii="Times New Roman;Times;serif" w:hAnsi="Times New Roman;Times;serif"/>
                <w:sz w:val="20"/>
              </w:rPr>
              <w:t xml:space="preserve"> against any accrued and unpaid interest due and payable on any Additional Notes and any Existing Additional Notes (allocated pro rata as among the Additional Notes and the Existing Additional Notes and to each holder thereof on a pro rata basis in accordance with the aggregate principal amount of the Additional Notes and the Existing Additional Notes held thereby) and (iii) </w:t>
            </w:r>
            <w:r>
              <w:rPr>
                <w:rFonts w:ascii="Times New Roman;Times;serif" w:hAnsi="Times New Roman;Times;serif"/>
                <w:i/>
                <w:sz w:val="20"/>
              </w:rPr>
              <w:t>third</w:t>
            </w:r>
            <w:r>
              <w:rPr>
                <w:rFonts w:ascii="Times New Roman;Times;serif" w:hAnsi="Times New Roman;Times;serif"/>
                <w:sz w:val="20"/>
              </w:rPr>
              <w:t>, at the Company’s sole election, against the outstanding principal amount of this Note, any Additional Notes and the Existing Notes then outstanding (allocated pro rata as among this Note, the Additional Notes and the Existing Notes and to each holder thereof on a pro rata basis in accordance with the aggregate principal amount of this Note, the applicable Additional Notes and the Existing Notes held thereby); provided that, in the case of (iii), (a) the Company shall pay to the Holder a redemption fee equal to 35% of the principal amount of this Note and/or any Existing Initial Notes being redeemed; and (b) the Company shall pay to the Holder a redemption fee equal to 15% of the principal amount of any Additional Notes or Existing Additional Notes being redeemed.</w:t>
            </w:r>
          </w:p>
        </w:tc>
      </w:tr>
    </w:tbl>
    <w:p>
      <w:pPr>
        <w:pStyle w:val="TextBody"/>
        <w:bidi w:val="0"/>
        <w:spacing w:lineRule="auto" w:line="300"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B - 19</w:t>
      </w:r>
    </w:p>
    <w:p>
      <w:pPr>
        <w:pStyle w:val="HorizontalLine"/>
        <w:pBdr>
          <w:bottom w:val="single" w:sz="12" w:space="0" w:color="808080"/>
        </w:pBdr>
        <w:bidi w:val="0"/>
        <w:spacing w:lineRule="auto" w:line="300" w:before="200" w:after="200"/>
        <w:jc w:val="left"/>
        <w:rPr/>
      </w:pPr>
      <w:r>
        <w:rPr/>
      </w:r>
    </w:p>
    <w:tbl>
      <w:tblPr>
        <w:tblW w:w="10205" w:type="dxa"/>
        <w:jc w:val="left"/>
        <w:tblInd w:w="0" w:type="dxa"/>
        <w:tblLayout w:type="fixed"/>
        <w:tblCellMar>
          <w:top w:w="0" w:type="dxa"/>
          <w:left w:w="0" w:type="dxa"/>
          <w:bottom w:w="0" w:type="dxa"/>
          <w:right w:w="0" w:type="dxa"/>
        </w:tblCellMar>
      </w:tblPr>
      <w:tblGrid>
        <w:gridCol w:w="38"/>
        <w:gridCol w:w="196"/>
        <w:gridCol w:w="9971"/>
      </w:tblGrid>
      <w:tr>
        <w:trPr/>
        <w:tc>
          <w:tcPr>
            <w:tcW w:w="38" w:type="dxa"/>
            <w:tcBorders/>
            <w:vAlign w:val="center"/>
          </w:tcPr>
          <w:p>
            <w:pPr>
              <w:pStyle w:val="TableContents"/>
              <w:bidi w:val="0"/>
              <w:spacing w:before="0" w:after="283"/>
              <w:jc w:val="left"/>
              <w:rPr/>
            </w:pPr>
            <w:r>
              <w:rPr/>
            </w:r>
          </w:p>
        </w:tc>
        <w:tc>
          <w:tcPr>
            <w:tcW w:w="1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97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u w:val="single"/>
              </w:rPr>
              <w:t>Other Redemptions</w:t>
            </w:r>
            <w:r>
              <w:rPr>
                <w:rFonts w:ascii="Times New Roman;Times;serif" w:hAnsi="Times New Roman;Times;serif"/>
                <w:sz w:val="20"/>
              </w:rPr>
              <w:t>. Other than as described in Section 9(a) and 9(b) hereof, the Company may not redeem or prepay this Note without the prior written consent of the Majority Holders, which consent may be withheld in the Majority Holders’ sole discretion.</w:t>
            </w:r>
          </w:p>
        </w:tc>
      </w:tr>
    </w:tbl>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u w:val="single"/>
        </w:rPr>
        <w:t>Section 10</w:t>
      </w:r>
      <w:r>
        <w:rPr>
          <w:rFonts w:ascii="Times New Roman;Times;serif" w:hAnsi="Times New Roman;Times;serif"/>
          <w:color w:val="000000"/>
          <w:sz w:val="20"/>
        </w:rPr>
        <w:t>.          </w:t>
      </w:r>
      <w:r>
        <w:rPr>
          <w:rFonts w:ascii="Times New Roman;Times;serif" w:hAnsi="Times New Roman;Times;serif"/>
          <w:color w:val="000000"/>
          <w:sz w:val="20"/>
          <w:u w:val="single"/>
        </w:rPr>
        <w:t>Miscellaneous</w:t>
      </w:r>
      <w:r>
        <w:rPr>
          <w:rFonts w:ascii="Times New Roman;Times;serif" w:hAnsi="Times New Roman;Times;serif"/>
          <w:color w:val="000000"/>
          <w:sz w:val="20"/>
        </w:rPr>
        <w:t>.</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540"/>
        <w:jc w:val="both"/>
        <w:rPr>
          <w:rFonts w:ascii="Times New Roman;Times;serif" w:hAnsi="Times New Roman;Times;serif"/>
          <w:color w:val="000000"/>
          <w:sz w:val="20"/>
        </w:rPr>
      </w:pPr>
      <w:r>
        <w:rPr>
          <w:rFonts w:ascii="Times New Roman;Times;serif" w:hAnsi="Times New Roman;Times;serif"/>
          <w:color w:val="000000"/>
          <w:sz w:val="20"/>
        </w:rPr>
        <w:t>(a)          </w:t>
      </w:r>
      <w:r>
        <w:rPr>
          <w:rFonts w:ascii="Times New Roman;Times;serif" w:hAnsi="Times New Roman;Times;serif"/>
          <w:color w:val="000000"/>
          <w:sz w:val="20"/>
          <w:u w:val="single"/>
        </w:rPr>
        <w:t>Notices</w:t>
      </w:r>
      <w:r>
        <w:rPr>
          <w:rFonts w:ascii="Times New Roman;Times;serif" w:hAnsi="Times New Roman;Times;serif"/>
          <w:color w:val="000000"/>
          <w:sz w:val="20"/>
        </w:rPr>
        <w:t>.  Any and all notices or other communications or deliveries to be provided by the Holder hereunder, including, without limitation, any Notice of Conversion, shall be in writing and delivered personally, by email attachment, or sent by a nationally recognized overnight courier service, addressed to the Company, at the address set forth above, or such other email address, or address as the Company may specify for such purposes by notice to the Holder delivered in accordance with this Section 10(a).  Any and all notices or other communications or deliveries to be provided by the Company hereunder shall be in writing and delivered personally, by email attachment, or sent by a nationally recognized overnight courier service addressed to each Holder at the email address or address of the Holder appearing on the books of the Company, or if no such email attachment or address appears on the books of the Company, at the principal place of business of such Holder, as set forth in the Purchase Agreement.  Any notice or other communication or deliveries hereunder shall be deemed given and effective on the earliest of (i) the date of transmission, if such notice or communication is delivered via email attachment to the email address set forth on the signature pages attached hereto prior to 5:30 p.m. (New York City time) on any date, (ii) the next Trading Day after the date of transmission, if such notice or communication is delivered via email attachment to the email address set forth on the signature pages attached hereto on a day that is not a Trading Day or later than 5:30 p.m. (New York City time) on any Trading Day, (iii) the second Trading Day following the date of mailing, if sent by U.S. nationally recognized overnight courier service or (iv) upon actual receipt by the party to whom such notice is required to be given.</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540"/>
        <w:jc w:val="both"/>
        <w:rPr>
          <w:rFonts w:ascii="Times New Roman;Times;serif" w:hAnsi="Times New Roman;Times;serif"/>
          <w:color w:val="000000"/>
          <w:sz w:val="20"/>
        </w:rPr>
      </w:pPr>
      <w:r>
        <w:rPr>
          <w:rFonts w:ascii="Times New Roman;Times;serif" w:hAnsi="Times New Roman;Times;serif"/>
          <w:color w:val="000000"/>
          <w:sz w:val="20"/>
        </w:rPr>
        <w:t>(b)          </w:t>
      </w:r>
      <w:r>
        <w:rPr>
          <w:rFonts w:ascii="Times New Roman;Times;serif" w:hAnsi="Times New Roman;Times;serif"/>
          <w:color w:val="000000"/>
          <w:sz w:val="20"/>
          <w:u w:val="single"/>
        </w:rPr>
        <w:t>Absolute Obligation</w:t>
      </w:r>
      <w:r>
        <w:rPr>
          <w:rFonts w:ascii="Times New Roman;Times;serif" w:hAnsi="Times New Roman;Times;serif"/>
          <w:color w:val="000000"/>
          <w:sz w:val="20"/>
        </w:rPr>
        <w:t xml:space="preserve">. Except as expressly provided herein, no provision of this Note shall alter or impair the obligation of the Company, which is absolute and unconditional, to pay the principal of, liquidated damages and accrued interest, as applicable, on this Note at the time, place, and rate, and in the coin or currency, herein prescribed.  This Note is a direct debt obligation of the Company.  This Note ranks </w:t>
      </w:r>
      <w:r>
        <w:rPr>
          <w:rFonts w:ascii="Times New Roman;Times;serif" w:hAnsi="Times New Roman;Times;serif"/>
          <w:i/>
          <w:color w:val="000000"/>
          <w:sz w:val="20"/>
        </w:rPr>
        <w:t>pari passu</w:t>
      </w:r>
      <w:r>
        <w:rPr>
          <w:rFonts w:ascii="Times New Roman;Times;serif" w:hAnsi="Times New Roman;Times;serif"/>
          <w:color w:val="000000"/>
          <w:sz w:val="20"/>
        </w:rPr>
        <w:t xml:space="preserve"> with all other Notes now or hereafter issued under the terms set forth herein.</w:t>
      </w:r>
    </w:p>
    <w:p>
      <w:pPr>
        <w:pStyle w:val="TextBody"/>
        <w:bidi w:val="0"/>
        <w:spacing w:lineRule="auto" w:line="300"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B - 20</w:t>
      </w:r>
    </w:p>
    <w:p>
      <w:pPr>
        <w:pStyle w:val="HorizontalLine"/>
        <w:pBdr>
          <w:bottom w:val="single" w:sz="12" w:space="0" w:color="808080"/>
        </w:pBdr>
        <w:bidi w:val="0"/>
        <w:spacing w:lineRule="auto" w:line="300" w:before="200" w:after="200"/>
        <w:jc w:val="left"/>
        <w:rPr/>
      </w:pPr>
      <w:r>
        <w:rPr/>
      </w:r>
    </w:p>
    <w:p>
      <w:pPr>
        <w:pStyle w:val="TextBody"/>
        <w:bidi w:val="0"/>
        <w:spacing w:lineRule="auto" w:line="300" w:before="0" w:after="0"/>
        <w:ind w:left="720" w:right="0" w:firstLine="540"/>
        <w:jc w:val="both"/>
        <w:rPr>
          <w:rFonts w:ascii="Times New Roman;Times;serif" w:hAnsi="Times New Roman;Times;serif"/>
          <w:color w:val="000000"/>
          <w:sz w:val="20"/>
        </w:rPr>
      </w:pPr>
      <w:r>
        <w:rPr>
          <w:rFonts w:ascii="Times New Roman;Times;serif" w:hAnsi="Times New Roman;Times;serif"/>
          <w:color w:val="000000"/>
          <w:sz w:val="20"/>
        </w:rPr>
        <w:t>(c)          </w:t>
      </w:r>
      <w:r>
        <w:rPr>
          <w:rFonts w:ascii="Times New Roman;Times;serif" w:hAnsi="Times New Roman;Times;serif"/>
          <w:color w:val="000000"/>
          <w:sz w:val="20"/>
          <w:u w:val="single"/>
        </w:rPr>
        <w:t>Lost or Mutilated Note</w:t>
      </w:r>
      <w:r>
        <w:rPr>
          <w:rFonts w:ascii="Times New Roman;Times;serif" w:hAnsi="Times New Roman;Times;serif"/>
          <w:color w:val="000000"/>
          <w:sz w:val="20"/>
        </w:rPr>
        <w:t>.  If this Note shall be mutilated, lost, stolen or destroyed, the Company shall execute and deliver, in exchange and substitution for and upon cancellation of a mutilated Note, or in lieu of or in substitution for a lost, stolen or destroyed Note, a new Note for the principal amount of this Note so mutilated, lost, stolen or destroyed, but only upon receipt of evidence of such loss, theft or destruction of such Note, and of the ownership hereof, reasonably satisfactory to the Company.</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540"/>
        <w:jc w:val="both"/>
        <w:rPr>
          <w:rFonts w:ascii="Times New Roman;Times;serif" w:hAnsi="Times New Roman;Times;serif"/>
          <w:color w:val="000000"/>
          <w:sz w:val="20"/>
        </w:rPr>
      </w:pPr>
      <w:r>
        <w:rPr>
          <w:rFonts w:ascii="Times New Roman;Times;serif" w:hAnsi="Times New Roman;Times;serif"/>
          <w:color w:val="000000"/>
          <w:sz w:val="20"/>
        </w:rPr>
        <w:t>(d)          </w:t>
      </w:r>
      <w:r>
        <w:rPr>
          <w:rFonts w:ascii="Times New Roman;Times;serif" w:hAnsi="Times New Roman;Times;serif"/>
          <w:color w:val="000000"/>
          <w:sz w:val="20"/>
          <w:u w:val="single"/>
        </w:rPr>
        <w:t>Governing Law</w:t>
      </w:r>
      <w:r>
        <w:rPr>
          <w:rFonts w:ascii="Times New Roman;Times;serif" w:hAnsi="Times New Roman;Times;serif"/>
          <w:color w:val="000000"/>
          <w:sz w:val="20"/>
        </w:rPr>
        <w:t>.  All questions concerning the construction, validity, enforcement and interpretation of this Note shall be governed by and construed and enforced in accordance with the internal laws of the State of New York, without regard to the principles of conflict of laws thereof (other than Title 14 of Article 5 of the New York General Obligations Law).  Each party agrees that all legal proceedings concerning the interpretation, enforcement and defense of the transactions contemplated by any of the Transaction Documents (whether brought against a party hereto or its respective Affiliates, directors, officers, shareholders, employees or agents) shall be commenced in the state and federal courts sitting in the State of New York (the “</w:t>
      </w:r>
      <w:r>
        <w:rPr>
          <w:rFonts w:ascii="Times New Roman;Times;serif" w:hAnsi="Times New Roman;Times;serif"/>
          <w:color w:val="000000"/>
          <w:sz w:val="20"/>
          <w:u w:val="single"/>
        </w:rPr>
        <w:t>New York Courts</w:t>
      </w:r>
      <w:r>
        <w:rPr>
          <w:rFonts w:ascii="Times New Roman;Times;serif" w:hAnsi="Times New Roman;Times;serif"/>
          <w:color w:val="000000"/>
          <w:sz w:val="20"/>
        </w:rPr>
        <w:t>”).  Each party hereto hereby irrevocably submits to the exclusive jurisdiction of the New York Courts for the adjudication of any dispute hereunder or in connection herewith or with any transaction contemplated hereby or discussed herein (including with respect to the enforcement of any of the Transaction Documents), and hereby irrevocably waives, and agrees not to assert in any suit, action or proceeding, any claim that it is not personally subject to the jurisdiction of such New York Courts, or such New York Courts are improper or inconvenient venue for such proceeding.  Each party hereby irrevocably waives personal service of process and consents to process being served in any such suit, action or proceeding by mailing a copy thereof via registered or certified mail or overnight delivery (with evidence of delivery) to such party at the address in effect for notices to it under this Note and agrees that such service shall constitute good and sufficient service of process and notice thereof.  Nothing contained herein shall be deemed to limit in any way any right to serve process in any other manner permitted by applicable law. Each party hereto hereby irrevocably waives, to the fullest extent permitted by applicable law, any and all right to trial by jury in any legal proceeding arising out of or relating to this Note or the transactions contemplated hereby. If any party shall commence an action or proceeding to enforce any provisions of this Note, then the prevailing party in such action or proceeding shall be reimbursed by the other party for its reasonable and documented out-of-pocket attorneys fees and other costs and expenses incurred in the investigation, preparation and prosecution of such action or proceeding.</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540"/>
        <w:jc w:val="both"/>
        <w:rPr>
          <w:rFonts w:ascii="Times New Roman;Times;serif" w:hAnsi="Times New Roman;Times;serif"/>
          <w:color w:val="000000"/>
          <w:sz w:val="20"/>
        </w:rPr>
      </w:pPr>
      <w:r>
        <w:rPr>
          <w:rFonts w:ascii="Times New Roman;Times;serif" w:hAnsi="Times New Roman;Times;serif"/>
          <w:color w:val="000000"/>
          <w:sz w:val="20"/>
        </w:rPr>
        <w:t>(e)          </w:t>
      </w:r>
      <w:r>
        <w:rPr>
          <w:rFonts w:ascii="Times New Roman;Times;serif" w:hAnsi="Times New Roman;Times;serif"/>
          <w:color w:val="000000"/>
          <w:sz w:val="20"/>
          <w:u w:val="single"/>
        </w:rPr>
        <w:t>Waiver</w:t>
      </w:r>
      <w:r>
        <w:rPr>
          <w:rFonts w:ascii="Times New Roman;Times;serif" w:hAnsi="Times New Roman;Times;serif"/>
          <w:color w:val="000000"/>
          <w:sz w:val="20"/>
        </w:rPr>
        <w:t>.  Any waiver by the Company or the Majority Purchasers (as defined in the Purchase Agreement) of a breach of any provision of this Note shall not operate as or be construed to be a waiver of any other breach of such provision or of any breach of any other provision of this Note.  The failure of the Company or the Holder to insist upon strict adherence to any term of this Note on one or more occasions shall not be considered a waiver or deprive that party of the right thereafter to insist upon strict adherence to that term or any other term of this Note on any other occasion.  Any provision of this Note may be waived by the Majority Purchasers, which waiver shall be binding on all of the holders of the Notes and their successors and assigns. Any provision of this Note may be amended by the Company and the Majority Purchasers and must be in writing, which amendment shall be binding on all of the holders of the Notes and their successors and assigns.</w:t>
      </w:r>
    </w:p>
    <w:p>
      <w:pPr>
        <w:pStyle w:val="TextBody"/>
        <w:bidi w:val="0"/>
        <w:spacing w:lineRule="auto" w:line="300"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B - 21</w:t>
      </w:r>
    </w:p>
    <w:p>
      <w:pPr>
        <w:pStyle w:val="HorizontalLine"/>
        <w:pBdr>
          <w:bottom w:val="single" w:sz="12" w:space="0" w:color="808080"/>
        </w:pBdr>
        <w:bidi w:val="0"/>
        <w:spacing w:lineRule="auto" w:line="300" w:before="200" w:after="200"/>
        <w:jc w:val="left"/>
        <w:rPr/>
      </w:pPr>
      <w:r>
        <w:rPr/>
      </w:r>
    </w:p>
    <w:p>
      <w:pPr>
        <w:pStyle w:val="TextBody"/>
        <w:bidi w:val="0"/>
        <w:spacing w:lineRule="auto" w:line="300" w:before="0" w:after="0"/>
        <w:ind w:left="720" w:right="0" w:firstLine="540"/>
        <w:jc w:val="both"/>
        <w:rPr>
          <w:rFonts w:ascii="Times New Roman;Times;serif" w:hAnsi="Times New Roman;Times;serif"/>
          <w:color w:val="000000"/>
          <w:sz w:val="20"/>
        </w:rPr>
      </w:pPr>
      <w:r>
        <w:rPr>
          <w:rFonts w:ascii="Times New Roman;Times;serif" w:hAnsi="Times New Roman;Times;serif"/>
          <w:color w:val="000000"/>
          <w:sz w:val="20"/>
        </w:rPr>
        <w:t>(f)          </w:t>
      </w:r>
      <w:r>
        <w:rPr>
          <w:rFonts w:ascii="Times New Roman;Times;serif" w:hAnsi="Times New Roman;Times;serif"/>
          <w:color w:val="000000"/>
          <w:sz w:val="20"/>
          <w:u w:val="single"/>
        </w:rPr>
        <w:t>Severability</w:t>
      </w:r>
      <w:r>
        <w:rPr>
          <w:rFonts w:ascii="Times New Roman;Times;serif" w:hAnsi="Times New Roman;Times;serif"/>
          <w:color w:val="000000"/>
          <w:sz w:val="20"/>
        </w:rPr>
        <w:t>.  If any provision of this Note is invalid, illegal or unenforceable, the balance of this Note shall remain in effect, and if any provision is inapplicable to any Person or circumstance, it shall nevertheless remain applicable to all other Persons and circumstances.  If it shall be found that any interest or other amount deemed interest due hereunder violates the applicable law governing usury, the applicable rate of interest due hereunder shall automatically be lowered to equal the maximum rate of interest permitted under applicable law. The Company covenants (to the extent that it may lawfully do so) that it shall not at any time insist upon, plead, or in any manner whatsoever claim or take the benefit or advantage of, any stay, extension or usury law or other law which would prohibit or forgive the Company from paying all or any portion of the principal of or interest on this Note as contemplated herein, wherever enacted, now or at any time hereafter in force, or which may affect the covenants or the performance of this Note, and the Company (to the extent it may lawfully do so) hereby expressly waives all benefits or advantage of any such law, and covenants that it will not, by resort to any such law, hinder, delay or impede the execution of any power herein granted to the Holder, but will suffer and permit the execution of every such as though no such law has been enacted.</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540"/>
        <w:jc w:val="both"/>
        <w:rPr>
          <w:rFonts w:ascii="Times New Roman;Times;serif" w:hAnsi="Times New Roman;Times;serif"/>
          <w:color w:val="000000"/>
          <w:sz w:val="20"/>
        </w:rPr>
      </w:pPr>
      <w:r>
        <w:rPr>
          <w:rFonts w:ascii="Times New Roman;Times;serif" w:hAnsi="Times New Roman;Times;serif"/>
          <w:color w:val="000000"/>
          <w:sz w:val="20"/>
        </w:rPr>
        <w:t>(g)          </w:t>
      </w:r>
      <w:r>
        <w:rPr>
          <w:rFonts w:ascii="Times New Roman;Times;serif" w:hAnsi="Times New Roman;Times;serif"/>
          <w:color w:val="000000"/>
          <w:sz w:val="20"/>
          <w:u w:val="single"/>
        </w:rPr>
        <w:t>Remedies, Characterizations, Other Obligations, Breaches and Injunctive Relief</w:t>
      </w:r>
      <w:r>
        <w:rPr>
          <w:rFonts w:ascii="Times New Roman;Times;serif" w:hAnsi="Times New Roman;Times;serif"/>
          <w:color w:val="000000"/>
          <w:sz w:val="20"/>
        </w:rPr>
        <w:t>.  The remedies provided in this Note shall be cumulative and in addition to all other remedies available under this Note and any of the other Transaction Documents at law or in equity (including a decree of specific performance and/or other injunctive relief), and nothing herein shall limit the Holder’s right to pursue actual and consequential damages for any failure by the Company to comply with the terms of this Note. The Company covenants to the Holder that there shall be no characterization concerning this instrument other than as expressly provided herein. Amounts set forth or provided for herein with respect to payments, conversion and the like (and the computation thereof) shall be the amounts to be received by the Holder and shall not, except as expressly provided herein, be subject to any other obligation of the Company (or the performance thereof). The Company acknowledges that a breach by it of its obligations hereunder will cause irreparable harm to the Holder and that the remedy at law for any such breach may be inadequate. The Company therefore agrees that, in the event of any such breach or threatened breach, the Holder shall be entitled, in addition to all other available remedies, to an injunction restraining any such breach or any such threatened breach, without the necessity of showing economic loss and without any bond or other security being required. The Company shall provide all information and documentation to the Holder that is requested by the Holder to enable the Holder to confirm the Company’s compliance with the terms and conditions of this Note.</w:t>
      </w:r>
    </w:p>
    <w:p>
      <w:pPr>
        <w:pStyle w:val="TextBody"/>
        <w:bidi w:val="0"/>
        <w:spacing w:lineRule="auto" w:line="300"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B - 22</w:t>
      </w:r>
    </w:p>
    <w:p>
      <w:pPr>
        <w:pStyle w:val="HorizontalLine"/>
        <w:pBdr>
          <w:bottom w:val="single" w:sz="12" w:space="0" w:color="808080"/>
        </w:pBdr>
        <w:bidi w:val="0"/>
        <w:spacing w:lineRule="auto" w:line="300" w:before="200" w:after="200"/>
        <w:jc w:val="left"/>
        <w:rPr/>
      </w:pPr>
      <w:r>
        <w:rPr/>
      </w:r>
    </w:p>
    <w:p>
      <w:pPr>
        <w:pStyle w:val="TextBody"/>
        <w:bidi w:val="0"/>
        <w:spacing w:lineRule="auto" w:line="300" w:before="0" w:after="0"/>
        <w:ind w:left="720" w:right="0" w:firstLine="540"/>
        <w:jc w:val="both"/>
        <w:rPr>
          <w:rFonts w:ascii="Times New Roman;Times;serif" w:hAnsi="Times New Roman;Times;serif"/>
          <w:color w:val="000000"/>
          <w:sz w:val="20"/>
        </w:rPr>
      </w:pPr>
      <w:r>
        <w:rPr>
          <w:rFonts w:ascii="Times New Roman;Times;serif" w:hAnsi="Times New Roman;Times;serif"/>
          <w:color w:val="000000"/>
          <w:sz w:val="20"/>
        </w:rPr>
        <w:t>(h)          </w:t>
      </w:r>
      <w:r>
        <w:rPr>
          <w:rFonts w:ascii="Times New Roman;Times;serif" w:hAnsi="Times New Roman;Times;serif"/>
          <w:color w:val="000000"/>
          <w:sz w:val="20"/>
          <w:u w:val="single"/>
        </w:rPr>
        <w:t>Next Business Day</w:t>
      </w:r>
      <w:r>
        <w:rPr>
          <w:rFonts w:ascii="Times New Roman;Times;serif" w:hAnsi="Times New Roman;Times;serif"/>
          <w:color w:val="000000"/>
          <w:sz w:val="20"/>
        </w:rPr>
        <w:t>.  Whenever any payment or other obligation hereunder shall be due on a day other than a Business Day, such payment shall be made on the next succeeding Business Day.</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540"/>
        <w:jc w:val="both"/>
        <w:rPr>
          <w:rFonts w:ascii="Times New Roman;Times;serif" w:hAnsi="Times New Roman;Times;serif"/>
          <w:color w:val="000000"/>
          <w:sz w:val="20"/>
        </w:rPr>
      </w:pPr>
      <w:r>
        <w:rPr>
          <w:rFonts w:ascii="Times New Roman;Times;serif" w:hAnsi="Times New Roman;Times;serif"/>
          <w:color w:val="000000"/>
          <w:sz w:val="20"/>
        </w:rPr>
        <w:t>(i)          </w:t>
      </w:r>
      <w:r>
        <w:rPr>
          <w:rFonts w:ascii="Times New Roman;Times;serif" w:hAnsi="Times New Roman;Times;serif"/>
          <w:color w:val="000000"/>
          <w:sz w:val="20"/>
          <w:u w:val="single"/>
        </w:rPr>
        <w:t>Headings</w:t>
      </w:r>
      <w:r>
        <w:rPr>
          <w:rFonts w:ascii="Times New Roman;Times;serif" w:hAnsi="Times New Roman;Times;serif"/>
          <w:color w:val="000000"/>
          <w:sz w:val="20"/>
        </w:rPr>
        <w:t>.  The headings contained herein are for convenience only, do not constitute a part of this Note and shall not be deemed to limit or affect any of the provisions hereof.</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u w:val="single"/>
        </w:rPr>
        <w:t>Section 11</w:t>
      </w:r>
      <w:r>
        <w:rPr>
          <w:rFonts w:ascii="Times New Roman;Times;serif" w:hAnsi="Times New Roman;Times;serif"/>
          <w:color w:val="000000"/>
          <w:sz w:val="20"/>
        </w:rPr>
        <w:t xml:space="preserve">.   </w:t>
      </w:r>
      <w:r>
        <w:rPr>
          <w:rFonts w:ascii="Times New Roman;Times;serif" w:hAnsi="Times New Roman;Times;serif"/>
          <w:color w:val="000000"/>
          <w:sz w:val="20"/>
          <w:u w:val="single"/>
        </w:rPr>
        <w:t>Secured Obligation</w:t>
      </w:r>
      <w:r>
        <w:rPr>
          <w:rFonts w:ascii="Times New Roman;Times;serif" w:hAnsi="Times New Roman;Times;serif"/>
          <w:color w:val="000000"/>
          <w:sz w:val="20"/>
        </w:rPr>
        <w:t>.  The obligations of the Company under this Note are secured by the Collateral.</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u w:val="single"/>
        </w:rPr>
        <w:t>Section 12</w:t>
      </w:r>
      <w:r>
        <w:rPr>
          <w:rFonts w:ascii="Times New Roman;Times;serif" w:hAnsi="Times New Roman;Times;serif"/>
          <w:color w:val="000000"/>
          <w:sz w:val="20"/>
        </w:rPr>
        <w:t xml:space="preserve">.   </w:t>
      </w:r>
      <w:r>
        <w:rPr>
          <w:rFonts w:ascii="Times New Roman;Times;serif" w:hAnsi="Times New Roman;Times;serif"/>
          <w:color w:val="000000"/>
          <w:sz w:val="20"/>
          <w:u w:val="single"/>
        </w:rPr>
        <w:t>Disclosure</w:t>
      </w:r>
      <w:r>
        <w:rPr>
          <w:rFonts w:ascii="Times New Roman;Times;serif" w:hAnsi="Times New Roman;Times;serif"/>
          <w:color w:val="000000"/>
          <w:sz w:val="20"/>
        </w:rPr>
        <w:t>.  Upon receipt or delivery by the Company of any notice in accordance with the terms of this Note, in the event that the Company believes that such notice contains material, non-public information relating to the Company or its Subsidiaries, the Company shall so indicate in such notice that it contains material, non-public information relating to the Company or its Subsidiaries and, simultaneously with the delivery of such notice to the Holder, the Company shall publicly disclose the contents of such notice in a Current Report on Form 8-K filed with the Commission.  If the Company does not indicate to the Holder with delivery of such notice that it contains material, non-public information relating to the Company or its Subsidiaries, the Holder shall be allowed to presume that all matters set forth in such notice do not constitute material, nonpublic information relating to the Company or its Subsidiaries.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center"/>
        <w:rPr>
          <w:rFonts w:ascii="Times New Roman;Times;serif" w:hAnsi="Times New Roman;Times;serif"/>
          <w:color w:val="000000"/>
          <w:sz w:val="20"/>
        </w:rPr>
      </w:pPr>
      <w:r>
        <w:rPr>
          <w:rFonts w:ascii="Times New Roman;Times;serif" w:hAnsi="Times New Roman;Times;serif"/>
          <w:color w:val="000000"/>
          <w:sz w:val="20"/>
        </w:rPr>
        <w:t>*********************</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center"/>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i/>
          <w:color w:val="000000"/>
          <w:sz w:val="20"/>
        </w:rPr>
        <w:t>Signature Page Follows</w:t>
      </w:r>
      <w:r>
        <w:rPr>
          <w:rFonts w:ascii="Times New Roman;Times;serif" w:hAnsi="Times New Roman;Times;serif"/>
          <w:color w:val="000000"/>
          <w:sz w:val="20"/>
        </w:rPr>
        <w:t>)</w:t>
      </w:r>
    </w:p>
    <w:p>
      <w:pPr>
        <w:pStyle w:val="TextBody"/>
        <w:bidi w:val="0"/>
        <w:spacing w:lineRule="auto" w:line="300"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B - 23</w:t>
      </w:r>
    </w:p>
    <w:p>
      <w:pPr>
        <w:pStyle w:val="HorizontalLine"/>
        <w:pBdr>
          <w:bottom w:val="single" w:sz="12" w:space="0" w:color="808080"/>
        </w:pBdr>
        <w:bidi w:val="0"/>
        <w:spacing w:lineRule="auto" w:line="300" w:before="200" w:after="200"/>
        <w:jc w:val="left"/>
        <w:rPr/>
      </w:pPr>
      <w:r>
        <w:rPr/>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IN WITNESS WHEREOF, the Company has caused this Note to be duly executed by a duly authorized officer as of the date first above indicated.</w:t>
      </w:r>
    </w:p>
    <w:p>
      <w:pPr>
        <w:pStyle w:val="TextBody"/>
        <w:bidi w:val="0"/>
        <w:spacing w:lineRule="auto" w:line="300" w:before="0" w:after="0"/>
        <w:jc w:val="left"/>
        <w:rPr/>
      </w:pPr>
      <w:r>
        <w:rPr/>
      </w:r>
    </w:p>
    <w:tbl>
      <w:tblPr>
        <w:tblW w:w="4790" w:type="dxa"/>
        <w:jc w:val="left"/>
        <w:tblInd w:w="0" w:type="dxa"/>
        <w:tblLayout w:type="fixed"/>
        <w:tblCellMar>
          <w:top w:w="0" w:type="dxa"/>
          <w:left w:w="0" w:type="dxa"/>
          <w:bottom w:w="0" w:type="dxa"/>
          <w:right w:w="0" w:type="dxa"/>
        </w:tblCellMar>
      </w:tblPr>
      <w:tblGrid>
        <w:gridCol w:w="60"/>
        <w:gridCol w:w="4730"/>
      </w:tblGrid>
      <w:tr>
        <w:trPr/>
        <w:tc>
          <w:tcPr>
            <w:tcW w:w="60" w:type="dxa"/>
            <w:tcBorders/>
            <w:vAlign w:val="center"/>
          </w:tcPr>
          <w:p>
            <w:pPr>
              <w:pStyle w:val="TableContents"/>
              <w:bidi w:val="0"/>
              <w:spacing w:before="0" w:after="283"/>
              <w:jc w:val="left"/>
              <w:rPr/>
            </w:pPr>
            <w:r>
              <w:rPr/>
              <w:t> </w:t>
            </w:r>
          </w:p>
        </w:tc>
        <w:tc>
          <w:tcPr>
            <w:tcW w:w="4730" w:type="dxa"/>
            <w:tcBorders/>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LIFEWARD LTD.</w:t>
            </w:r>
          </w:p>
        </w:tc>
      </w:tr>
      <w:tr>
        <w:trPr/>
        <w:tc>
          <w:tcPr>
            <w:tcW w:w="60" w:type="dxa"/>
            <w:tcBorders/>
            <w:vAlign w:val="center"/>
          </w:tcPr>
          <w:p>
            <w:pPr>
              <w:pStyle w:val="TableContents"/>
              <w:bidi w:val="0"/>
              <w:spacing w:before="0" w:after="283"/>
              <w:jc w:val="left"/>
              <w:rPr/>
            </w:pPr>
            <w:r>
              <w:rPr/>
              <w:t> </w:t>
            </w:r>
          </w:p>
        </w:tc>
        <w:tc>
          <w:tcPr>
            <w:tcW w:w="473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473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By:__________________________________________</w:t>
            </w:r>
          </w:p>
          <w:p>
            <w:pPr>
              <w:pStyle w:val="TableContents"/>
              <w:bidi w:val="0"/>
              <w:spacing w:lineRule="auto" w:line="300" w:before="0" w:after="0"/>
              <w:ind w:left="360" w:right="0" w:hanging="0"/>
              <w:jc w:val="left"/>
              <w:rPr>
                <w:rFonts w:ascii="Times New Roman;Times;serif" w:hAnsi="Times New Roman;Times;serif"/>
                <w:sz w:val="20"/>
              </w:rPr>
            </w:pPr>
            <w:r>
              <w:rPr>
                <w:rFonts w:ascii="Times New Roman;Times;serif" w:hAnsi="Times New Roman;Times;serif"/>
                <w:sz w:val="20"/>
              </w:rPr>
              <w:t>Name: William Mark Grant</w:t>
            </w:r>
          </w:p>
          <w:p>
            <w:pPr>
              <w:pStyle w:val="TableContents"/>
              <w:bidi w:val="0"/>
              <w:spacing w:lineRule="auto" w:line="300" w:before="0" w:after="0"/>
              <w:ind w:left="360" w:right="0" w:hanging="0"/>
              <w:jc w:val="left"/>
              <w:rPr>
                <w:rFonts w:ascii="Times New Roman;Times;serif" w:hAnsi="Times New Roman;Times;serif"/>
                <w:sz w:val="20"/>
              </w:rPr>
            </w:pPr>
            <w:r>
              <w:rPr>
                <w:rFonts w:ascii="Times New Roman;Times;serif" w:hAnsi="Times New Roman;Times;serif"/>
                <w:sz w:val="20"/>
              </w:rPr>
              <w:t>Title: President and Chief Executive Officer</w:t>
            </w:r>
          </w:p>
        </w:tc>
      </w:tr>
    </w:tbl>
    <w:p>
      <w:pPr>
        <w:pStyle w:val="TextBody"/>
        <w:bidi w:val="0"/>
        <w:spacing w:lineRule="auto" w:line="300" w:before="0" w:after="0"/>
        <w:jc w:val="left"/>
        <w:rPr/>
      </w:pPr>
      <w:r>
        <w:rPr/>
      </w:r>
    </w:p>
    <w:p>
      <w:pPr>
        <w:pStyle w:val="HorizontalLine"/>
        <w:pBdr>
          <w:bottom w:val="single" w:sz="12" w:space="0" w:color="808080"/>
        </w:pBdr>
        <w:bidi w:val="0"/>
        <w:spacing w:lineRule="auto" w:line="300" w:before="200" w:after="200"/>
        <w:jc w:val="left"/>
        <w:rPr/>
      </w:pPr>
      <w:r>
        <w:rPr/>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ANNEX A</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NOTICE OF CONVERSION</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Reference is made to the Senior Secured Convertible Note (the “</w:t>
      </w:r>
      <w:r>
        <w:rPr>
          <w:rFonts w:ascii="Times New Roman;Times;serif" w:hAnsi="Times New Roman;Times;serif"/>
          <w:color w:val="000000"/>
          <w:sz w:val="20"/>
          <w:u w:val="single"/>
        </w:rPr>
        <w:t>Note</w:t>
      </w:r>
      <w:r>
        <w:rPr>
          <w:rFonts w:ascii="Times New Roman;Times;serif" w:hAnsi="Times New Roman;Times;serif"/>
          <w:color w:val="000000"/>
          <w:sz w:val="20"/>
        </w:rPr>
        <w:t>”) of Lifeward Ltd., an Israeli company (the “</w:t>
      </w:r>
      <w:r>
        <w:rPr>
          <w:rFonts w:ascii="Times New Roman;Times;serif" w:hAnsi="Times New Roman;Times;serif"/>
          <w:color w:val="000000"/>
          <w:sz w:val="20"/>
          <w:u w:val="single"/>
        </w:rPr>
        <w:t>Company</w:t>
      </w:r>
      <w:r>
        <w:rPr>
          <w:rFonts w:ascii="Times New Roman;Times;serif" w:hAnsi="Times New Roman;Times;serif"/>
          <w:color w:val="000000"/>
          <w:sz w:val="20"/>
        </w:rPr>
        <w:t>”).</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The undersigned hereby elects to convert principal under the Note (</w:t>
      </w:r>
      <w:r>
        <w:rPr>
          <w:rFonts w:ascii="Times New Roman;Times;serif" w:hAnsi="Times New Roman;Times;serif"/>
          <w:i/>
          <w:color w:val="000000"/>
          <w:sz w:val="20"/>
        </w:rPr>
        <w:t>plus</w:t>
      </w:r>
      <w:r>
        <w:rPr>
          <w:rFonts w:ascii="Times New Roman;Times;serif" w:hAnsi="Times New Roman;Times;serif"/>
          <w:color w:val="000000"/>
          <w:sz w:val="20"/>
        </w:rPr>
        <w:t>, the accrued and unpaid interest thereon) into ordinary shares of the Company (the “</w:t>
      </w:r>
      <w:r>
        <w:rPr>
          <w:rFonts w:ascii="Times New Roman;Times;serif" w:hAnsi="Times New Roman;Times;serif"/>
          <w:color w:val="000000"/>
          <w:sz w:val="20"/>
          <w:u w:val="single"/>
        </w:rPr>
        <w:t>Ordinary Shares</w:t>
      </w:r>
      <w:r>
        <w:rPr>
          <w:rFonts w:ascii="Times New Roman;Times;serif" w:hAnsi="Times New Roman;Times;serif"/>
          <w:color w:val="000000"/>
          <w:sz w:val="20"/>
        </w:rPr>
        <w:t>”) according to the conditions hereof, as of the date written below.  If Ordinary Shares are to be issued in the name of a person other than the undersigned, the undersigned will pay all issue, stamp, transfer and similar taxes payable with respect thereto and is delivering herewith such certificates and opinions as reasonably requested by the Company in accordance therewith.  No fee will be charged to the holder for any conversion, except for such issue, stamp, transfer and similar taxes, if any.</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By the delivery of this Notice of Conversion the undersigned represents and warrants to the Company that its ownership of the Ordinary Shares does not exceed the amounts specified under Section 4 of this Note, as determined in accordance with Section 13(d) of the Exchange Act.</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The undersigned agrees to comply with the prospectus delivery requirements under the applicable securities laws in connection with any transfer of the aforesaid Ordinary Shares.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Conversion calculations:</w:t>
      </w:r>
    </w:p>
    <w:p>
      <w:pPr>
        <w:pStyle w:val="TextBody"/>
        <w:bidi w:val="0"/>
        <w:spacing w:lineRule="auto" w:line="300" w:before="0" w:after="0"/>
        <w:jc w:val="left"/>
        <w:rPr>
          <w:color w:val="000000"/>
        </w:rPr>
      </w:pPr>
      <w:r>
        <w:rPr>
          <w:color w:val="000000"/>
        </w:rPr>
        <w:t> </w:t>
      </w:r>
    </w:p>
    <w:tbl>
      <w:tblPr>
        <w:tblW w:w="4250" w:type="dxa"/>
        <w:jc w:val="left"/>
        <w:tblInd w:w="0" w:type="dxa"/>
        <w:tblLayout w:type="fixed"/>
        <w:tblCellMar>
          <w:top w:w="0" w:type="dxa"/>
          <w:left w:w="0" w:type="dxa"/>
          <w:bottom w:w="0" w:type="dxa"/>
          <w:right w:w="0" w:type="dxa"/>
        </w:tblCellMar>
      </w:tblPr>
      <w:tblGrid>
        <w:gridCol w:w="60"/>
        <w:gridCol w:w="4190"/>
      </w:tblGrid>
      <w:tr>
        <w:trPr/>
        <w:tc>
          <w:tcPr>
            <w:tcW w:w="60" w:type="dxa"/>
            <w:tcBorders/>
            <w:vAlign w:val="center"/>
          </w:tcPr>
          <w:p>
            <w:pPr>
              <w:pStyle w:val="TableContents"/>
              <w:bidi w:val="0"/>
              <w:spacing w:before="0" w:after="0"/>
              <w:jc w:val="left"/>
              <w:rPr/>
            </w:pPr>
            <w:r>
              <w:rPr/>
              <w:t> </w:t>
            </w:r>
          </w:p>
        </w:tc>
        <w:tc>
          <w:tcPr>
            <w:tcW w:w="4190"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Date to Effect Conversion:</w:t>
            </w:r>
          </w:p>
          <w:p>
            <w:pPr>
              <w:pStyle w:val="TableContents"/>
              <w:bidi w:val="0"/>
              <w:spacing w:lineRule="auto" w:line="300" w:before="0" w:after="0"/>
              <w:jc w:val="left"/>
              <w:rPr/>
            </w:pPr>
            <w:r>
              <w:rPr/>
            </w:r>
          </w:p>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Principal Amount of Note to be Converted:</w:t>
            </w:r>
          </w:p>
          <w:p>
            <w:pPr>
              <w:pStyle w:val="TableContents"/>
              <w:bidi w:val="0"/>
              <w:spacing w:lineRule="auto" w:line="300" w:before="0" w:after="0"/>
              <w:jc w:val="left"/>
              <w:rPr/>
            </w:pPr>
            <w:r>
              <w:rPr/>
            </w:r>
          </w:p>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Accrued and Unpaid Interest to be Converted:</w:t>
            </w:r>
          </w:p>
          <w:p>
            <w:pPr>
              <w:pStyle w:val="TableContents"/>
              <w:bidi w:val="0"/>
              <w:spacing w:lineRule="auto" w:line="300" w:before="0" w:after="0"/>
              <w:jc w:val="left"/>
              <w:rPr/>
            </w:pPr>
            <w:r>
              <w:rPr/>
            </w:r>
          </w:p>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Number  of Ordinary Shares to be issued:</w:t>
            </w:r>
          </w:p>
          <w:p>
            <w:pPr>
              <w:pStyle w:val="TableContents"/>
              <w:bidi w:val="0"/>
              <w:spacing w:lineRule="auto" w:line="300" w:before="0" w:after="0"/>
              <w:jc w:val="left"/>
              <w:rPr/>
            </w:pPr>
            <w:r>
              <w:rPr/>
            </w:r>
          </w:p>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Signature:</w:t>
            </w:r>
          </w:p>
          <w:p>
            <w:pPr>
              <w:pStyle w:val="TableContents"/>
              <w:bidi w:val="0"/>
              <w:spacing w:lineRule="auto" w:line="300" w:before="0" w:after="0"/>
              <w:jc w:val="left"/>
              <w:rPr/>
            </w:pPr>
            <w:r>
              <w:rPr/>
            </w:r>
          </w:p>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Name:</w:t>
            </w:r>
          </w:p>
          <w:p>
            <w:pPr>
              <w:pStyle w:val="TableContents"/>
              <w:bidi w:val="0"/>
              <w:spacing w:lineRule="auto" w:line="300" w:before="0" w:after="0"/>
              <w:jc w:val="left"/>
              <w:rPr/>
            </w:pPr>
            <w:r>
              <w:rPr/>
            </w:r>
          </w:p>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Address for Delivery of Ordinary Share Certificates:</w:t>
            </w:r>
          </w:p>
          <w:p>
            <w:pPr>
              <w:pStyle w:val="TableContents"/>
              <w:bidi w:val="0"/>
              <w:spacing w:lineRule="auto" w:line="300" w:before="0" w:after="0"/>
              <w:jc w:val="left"/>
              <w:rPr/>
            </w:pPr>
            <w:r>
              <w:rPr/>
            </w:r>
          </w:p>
          <w:p>
            <w:pPr>
              <w:pStyle w:val="TableContents"/>
              <w:bidi w:val="0"/>
              <w:spacing w:lineRule="auto" w:line="300" w:before="0" w:after="0"/>
              <w:jc w:val="both"/>
              <w:rPr>
                <w:rFonts w:ascii="Times New Roman;Times;serif" w:hAnsi="Times New Roman;Times;serif"/>
                <w:sz w:val="20"/>
                <w:u w:val="single"/>
              </w:rPr>
            </w:pPr>
            <w:r>
              <w:rPr>
                <w:rFonts w:ascii="Times New Roman;Times;serif" w:hAnsi="Times New Roman;Times;serif"/>
                <w:sz w:val="20"/>
                <w:u w:val="single"/>
              </w:rPr>
              <w:t>Or</w:t>
            </w:r>
          </w:p>
          <w:p>
            <w:pPr>
              <w:pStyle w:val="TableContents"/>
              <w:bidi w:val="0"/>
              <w:spacing w:lineRule="auto" w:line="300" w:before="0" w:after="0"/>
              <w:jc w:val="left"/>
              <w:rPr/>
            </w:pPr>
            <w:r>
              <w:rPr/>
            </w:r>
          </w:p>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DWAC Instructions:</w:t>
            </w:r>
          </w:p>
        </w:tc>
      </w:tr>
    </w:tbl>
    <w:p>
      <w:pPr>
        <w:pStyle w:val="TextBody"/>
        <w:bidi w:val="0"/>
        <w:spacing w:lineRule="auto" w:line="300" w:before="0" w:after="0"/>
        <w:jc w:val="left"/>
        <w:rPr/>
      </w:pPr>
      <w:r>
        <w:rPr/>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DTC Participant Number: </w:t>
      </w:r>
      <w:r>
        <w:rPr>
          <w:rFonts w:ascii="Times New Roman;Times;serif" w:hAnsi="Times New Roman;Times;serif"/>
          <w:color w:val="000000"/>
          <w:sz w:val="20"/>
          <w:u w:val="single"/>
        </w:rPr>
        <w:t xml:space="preserve">                                       </w:t>
      </w:r>
    </w:p>
    <w:p>
      <w:pPr>
        <w:pStyle w:val="TextBody"/>
        <w:bidi w:val="0"/>
        <w:spacing w:lineRule="auto" w:line="300" w:before="0" w:after="0"/>
        <w:jc w:val="left"/>
        <w:rPr/>
      </w:pPr>
      <w:r>
        <w:rPr/>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DTC Participant Name: </w:t>
      </w:r>
      <w:r>
        <w:rPr>
          <w:rFonts w:ascii="Times New Roman;Times;serif" w:hAnsi="Times New Roman;Times;serif"/>
          <w:color w:val="000000"/>
          <w:sz w:val="20"/>
          <w:u w:val="single"/>
        </w:rPr>
        <w:t xml:space="preserve">                                        </w:t>
      </w:r>
    </w:p>
    <w:p>
      <w:pPr>
        <w:pStyle w:val="TextBody"/>
        <w:bidi w:val="0"/>
        <w:spacing w:lineRule="auto" w:line="300" w:before="0" w:after="0"/>
        <w:jc w:val="left"/>
        <w:rPr/>
      </w:pPr>
      <w:r>
        <w:rPr/>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Account Number: </w:t>
      </w:r>
      <w:r>
        <w:rPr>
          <w:rFonts w:ascii="Times New Roman;Times;serif" w:hAnsi="Times New Roman;Times;serif"/>
          <w:color w:val="000000"/>
          <w:sz w:val="20"/>
          <w:u w:val="single"/>
        </w:rPr>
        <w:t xml:space="preserve">                                      </w:t>
      </w:r>
    </w:p>
    <w:p>
      <w:pPr>
        <w:pStyle w:val="TextBody"/>
        <w:bidi w:val="0"/>
        <w:spacing w:lineRule="auto" w:line="300" w:before="0" w:after="0"/>
        <w:jc w:val="left"/>
        <w:rPr/>
      </w:pPr>
      <w:r>
        <w:rPr/>
      </w:r>
    </w:p>
    <w:p>
      <w:pPr>
        <w:pStyle w:val="HorizontalLine"/>
        <w:pBdr>
          <w:bottom w:val="single" w:sz="12" w:space="0" w:color="808080"/>
        </w:pBdr>
        <w:bidi w:val="0"/>
        <w:spacing w:before="200" w:after="200"/>
        <w:jc w:val="left"/>
        <w:rPr/>
      </w:pPr>
      <w:r>
        <w:rPr/>
      </w:r>
    </w:p>
    <w:p>
      <w:pPr>
        <w:pStyle w:val="TextBody"/>
        <w:bidi w:val="0"/>
        <w:spacing w:lineRule="auto" w:line="300" w:before="0" w:after="0"/>
        <w:jc w:val="center"/>
        <w:rPr>
          <w:rFonts w:ascii="Times New Roman;Times;serif" w:hAnsi="Times New Roman;Times;serif"/>
          <w:b/>
          <w:color w:val="000000"/>
          <w:sz w:val="20"/>
          <w:u w:val="single"/>
        </w:rPr>
      </w:pPr>
      <w:r>
        <w:rPr>
          <w:rFonts w:ascii="Times New Roman;Times;serif" w:hAnsi="Times New Roman;Times;serif"/>
          <w:b/>
          <w:color w:val="000000"/>
          <w:sz w:val="20"/>
          <w:u w:val="single"/>
        </w:rPr>
        <w:t>EXHIBIT C</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Form of Initial Warrant</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NEITHER THIS SECURITY NOR THE SECURITIES FOR WHICH THIS SECURITY IS EXERCISABLE HAVE BEEN REGISTERED WITH THE SECURITIES AND EXCHANGE COMMISSION OR THE SECURITIES COMMISSION OF ANY STATE IN RELIANCE UPON AN EXEMPTION FROM REGISTRATION UNDER THE SECURITIES ACT OF 1933, AS AMENDED (THE “SECURITIES ACT”),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  THIS SECURITY AND THE SECURITIES ISSUABLE UPON EXERCISE OF THIS SECURITY MAY BE PLEDGED IN CONNECTION WITH A BONA FIDE MARGIN ACCOUNT OR OTHER LOAN SECURED BY SUCH SECURITIES.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ORDINARY SHARE PURCHASE WARRANT</w:t>
      </w:r>
    </w:p>
    <w:p>
      <w:pPr>
        <w:pStyle w:val="TextBody"/>
        <w:bidi w:val="0"/>
        <w:spacing w:lineRule="auto" w:line="300" w:before="0" w:after="0"/>
        <w:jc w:val="left"/>
        <w:rPr/>
      </w:pPr>
      <w:r>
        <w:rPr/>
      </w:r>
    </w:p>
    <w:p>
      <w:pPr>
        <w:pStyle w:val="TextBody"/>
        <w:bidi w:val="0"/>
        <w:spacing w:lineRule="auto" w:line="300" w:before="0" w:after="0"/>
        <w:jc w:val="center"/>
        <w:rPr>
          <w:color w:val="000000"/>
        </w:rPr>
      </w:pPr>
      <w:r>
        <w:rPr>
          <w:color w:val="000000"/>
        </w:rPr>
        <w:t> </w:t>
      </w:r>
      <w:r>
        <w:rPr>
          <w:rFonts w:ascii="Times New Roman;Times;serif" w:hAnsi="Times New Roman;Times;serif"/>
          <w:b/>
          <w:color w:val="000000"/>
          <w:sz w:val="20"/>
        </w:rPr>
        <w:t>LIFEWARD LTD.</w:t>
      </w:r>
    </w:p>
    <w:p>
      <w:pPr>
        <w:pStyle w:val="TextBody"/>
        <w:bidi w:val="0"/>
        <w:spacing w:lineRule="auto" w:line="300" w:before="0" w:after="0"/>
        <w:jc w:val="left"/>
        <w:rPr>
          <w:color w:val="000000"/>
        </w:rPr>
      </w:pPr>
      <w:r>
        <w:rPr>
          <w:color w:val="000000"/>
        </w:rPr>
        <w:t> </w:t>
      </w:r>
    </w:p>
    <w:p>
      <w:pPr>
        <w:pStyle w:val="Normal"/>
        <w:bidi w:val="0"/>
        <w:spacing w:lineRule="auto" w:line="300" w:before="0" w:after="0"/>
        <w:jc w:val="left"/>
        <w:rPr>
          <w:sz w:val="4"/>
          <w:szCs w:val="4"/>
        </w:rPr>
      </w:pPr>
      <w:r>
        <w:rPr>
          <w:sz w:val="4"/>
          <w:szCs w:val="4"/>
        </w:rPr>
      </w:r>
      <w:bookmarkStart w:id="244" w:name="za67941db8f384ae7b80b04ef5f112939"/>
      <w:bookmarkStart w:id="245" w:name="za67941db8f384ae7b80b04ef5f112939"/>
      <w:bookmarkEnd w:id="245"/>
    </w:p>
    <w:tbl>
      <w:tblPr>
        <w:tblW w:w="4810" w:type="dxa"/>
        <w:jc w:val="left"/>
        <w:tblInd w:w="0" w:type="dxa"/>
        <w:tblLayout w:type="fixed"/>
        <w:tblCellMar>
          <w:top w:w="0" w:type="dxa"/>
          <w:left w:w="0" w:type="dxa"/>
          <w:bottom w:w="0" w:type="dxa"/>
          <w:right w:w="0" w:type="dxa"/>
        </w:tblCellMar>
      </w:tblPr>
      <w:tblGrid>
        <w:gridCol w:w="2075"/>
        <w:gridCol w:w="2735"/>
      </w:tblGrid>
      <w:tr>
        <w:trPr/>
        <w:tc>
          <w:tcPr>
            <w:tcW w:w="20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Warrant Shares: _______</w:t>
            </w:r>
          </w:p>
        </w:tc>
        <w:tc>
          <w:tcPr>
            <w:tcW w:w="27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Initial Exercise Date: [________]</w:t>
            </w:r>
          </w:p>
        </w:tc>
      </w:tr>
    </w:tbl>
    <w:p>
      <w:pPr>
        <w:pStyle w:val="TextBody"/>
        <w:bidi w:val="0"/>
        <w:spacing w:lineRule="auto" w:line="300" w:before="0" w:after="0"/>
        <w:jc w:val="left"/>
        <w:rPr>
          <w:color w:val="000000"/>
        </w:rPr>
      </w:pPr>
      <w:r>
        <w:rPr>
          <w:color w:val="000000"/>
        </w:rPr>
        <w:t> </w:t>
      </w:r>
    </w:p>
    <w:p>
      <w:pPr>
        <w:pStyle w:val="TextBody"/>
        <w:bidi w:val="0"/>
        <w:spacing w:lineRule="auto" w:line="24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THIS ORDINARY SHARE PURCHASE WARRANT (the “</w:t>
      </w:r>
      <w:r>
        <w:rPr>
          <w:rFonts w:ascii="Times New Roman;Times;serif" w:hAnsi="Times New Roman;Times;serif"/>
          <w:color w:val="000000"/>
          <w:sz w:val="20"/>
          <w:u w:val="single"/>
        </w:rPr>
        <w:t>Warrant</w:t>
      </w:r>
      <w:r>
        <w:rPr>
          <w:rFonts w:ascii="Times New Roman;Times;serif" w:hAnsi="Times New Roman;Times;serif"/>
          <w:color w:val="000000"/>
          <w:sz w:val="20"/>
        </w:rPr>
        <w:t>”) certifies that, for value received, [  ] or its assigns (the “</w:t>
      </w:r>
      <w:r>
        <w:rPr>
          <w:rFonts w:ascii="Times New Roman;Times;serif" w:hAnsi="Times New Roman;Times;serif"/>
          <w:color w:val="000000"/>
          <w:sz w:val="20"/>
          <w:u w:val="single"/>
        </w:rPr>
        <w:t>Holder</w:t>
      </w:r>
      <w:r>
        <w:rPr>
          <w:rFonts w:ascii="Times New Roman;Times;serif" w:hAnsi="Times New Roman;Times;serif"/>
          <w:color w:val="000000"/>
          <w:sz w:val="20"/>
        </w:rPr>
        <w:t>”) is entitled, upon the terms and subject to the limitations on exercise and the conditions hereinafter set forth, at any time on or after the date set forth above (the “</w:t>
      </w:r>
      <w:r>
        <w:rPr>
          <w:rFonts w:ascii="Times New Roman;Times;serif" w:hAnsi="Times New Roman;Times;serif"/>
          <w:color w:val="000000"/>
          <w:sz w:val="20"/>
          <w:u w:val="single"/>
        </w:rPr>
        <w:t>Initial Exercise Date</w:t>
      </w:r>
      <w:r>
        <w:rPr>
          <w:rFonts w:ascii="Times New Roman;Times;serif" w:hAnsi="Times New Roman;Times;serif"/>
          <w:color w:val="000000"/>
          <w:sz w:val="20"/>
        </w:rPr>
        <w:t>”) and on or prior to 5:00 p.m. (New York City time) on [______]1 (the “</w:t>
      </w:r>
      <w:r>
        <w:rPr>
          <w:rFonts w:ascii="Times New Roman;Times;serif" w:hAnsi="Times New Roman;Times;serif"/>
          <w:color w:val="000000"/>
          <w:sz w:val="20"/>
          <w:u w:val="single"/>
        </w:rPr>
        <w:t>Termination Date</w:t>
      </w:r>
      <w:r>
        <w:rPr>
          <w:rFonts w:ascii="Times New Roman;Times;serif" w:hAnsi="Times New Roman;Times;serif"/>
          <w:color w:val="000000"/>
          <w:sz w:val="20"/>
        </w:rPr>
        <w:t>”) but not thereafter, to subscribe for and purchase from Lifeward Ltd., an Israeli company (the “</w:t>
      </w:r>
      <w:r>
        <w:rPr>
          <w:rFonts w:ascii="Times New Roman;Times;serif" w:hAnsi="Times New Roman;Times;serif"/>
          <w:color w:val="000000"/>
          <w:sz w:val="20"/>
          <w:u w:val="single"/>
        </w:rPr>
        <w:t>Company</w:t>
      </w:r>
      <w:r>
        <w:rPr>
          <w:rFonts w:ascii="Times New Roman;Times;serif" w:hAnsi="Times New Roman;Times;serif"/>
          <w:color w:val="000000"/>
          <w:sz w:val="20"/>
        </w:rPr>
        <w:t>”), up to [  ] (as subject to adjustment hereunder, the “</w:t>
      </w:r>
      <w:r>
        <w:rPr>
          <w:rFonts w:ascii="Times New Roman;Times;serif" w:hAnsi="Times New Roman;Times;serif"/>
          <w:color w:val="000000"/>
          <w:sz w:val="20"/>
          <w:u w:val="single"/>
        </w:rPr>
        <w:t>Warrant Shares</w:t>
      </w:r>
      <w:r>
        <w:rPr>
          <w:rFonts w:ascii="Times New Roman;Times;serif" w:hAnsi="Times New Roman;Times;serif"/>
          <w:color w:val="000000"/>
          <w:sz w:val="20"/>
        </w:rPr>
        <w:t>”) of the Company’s Ordinary Shares.  The purchase price of one Ordinary Share under this Warrant shall be equal to the Exercise Price, as defined in Section 2(b).</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u w:val="single"/>
        </w:rPr>
        <w:t>Section 1</w:t>
      </w:r>
      <w:r>
        <w:rPr>
          <w:rFonts w:ascii="Times New Roman;Times;serif" w:hAnsi="Times New Roman;Times;serif"/>
          <w:color w:val="000000"/>
          <w:sz w:val="20"/>
        </w:rPr>
        <w:t>.          </w:t>
      </w:r>
      <w:r>
        <w:rPr>
          <w:rFonts w:ascii="Times New Roman;Times;serif" w:hAnsi="Times New Roman;Times;serif"/>
          <w:color w:val="000000"/>
          <w:sz w:val="20"/>
          <w:u w:val="single"/>
        </w:rPr>
        <w:t>Definitions</w:t>
      </w:r>
      <w:r>
        <w:rPr>
          <w:rFonts w:ascii="Times New Roman;Times;serif" w:hAnsi="Times New Roman;Times;serif"/>
          <w:color w:val="000000"/>
          <w:sz w:val="20"/>
        </w:rPr>
        <w:t>.  Capitalized terms used and not otherwise defined herein shall have the meanings set forth in that certain Securities Purchase Agreement (the “</w:t>
      </w:r>
      <w:r>
        <w:rPr>
          <w:rFonts w:ascii="Times New Roman;Times;serif" w:hAnsi="Times New Roman;Times;serif"/>
          <w:color w:val="000000"/>
          <w:sz w:val="20"/>
          <w:u w:val="single"/>
        </w:rPr>
        <w:t>Purchase Agreement</w:t>
      </w:r>
      <w:r>
        <w:rPr>
          <w:rFonts w:ascii="Times New Roman;Times;serif" w:hAnsi="Times New Roman;Times;serif"/>
          <w:color w:val="000000"/>
          <w:sz w:val="20"/>
        </w:rPr>
        <w:t>”), dated June 30, 2026, among the Company and the purchasers signatory thereto.</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u w:val="single"/>
        </w:rPr>
        <w:t>Section 2</w:t>
      </w:r>
      <w:r>
        <w:rPr>
          <w:rFonts w:ascii="Times New Roman;Times;serif" w:hAnsi="Times New Roman;Times;serif"/>
          <w:color w:val="000000"/>
          <w:sz w:val="20"/>
        </w:rPr>
        <w:t>.          </w:t>
      </w:r>
      <w:r>
        <w:rPr>
          <w:rFonts w:ascii="Times New Roman;Times;serif" w:hAnsi="Times New Roman;Times;serif"/>
          <w:color w:val="000000"/>
          <w:sz w:val="20"/>
          <w:u w:val="single"/>
        </w:rPr>
        <w:t>Exercise</w:t>
      </w:r>
      <w:r>
        <w:rPr>
          <w:rFonts w:ascii="Times New Roman;Times;serif" w:hAnsi="Times New Roman;Times;serif"/>
          <w:color w:val="000000"/>
          <w:sz w:val="20"/>
        </w:rPr>
        <w:t>.</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a)          </w:t>
      </w:r>
      <w:r>
        <w:rPr>
          <w:rFonts w:ascii="Times New Roman;Times;serif" w:hAnsi="Times New Roman;Times;serif"/>
          <w:color w:val="000000"/>
          <w:sz w:val="20"/>
          <w:u w:val="single"/>
        </w:rPr>
        <w:t>Exercise of Warrant</w:t>
      </w:r>
      <w:r>
        <w:rPr>
          <w:rFonts w:ascii="Times New Roman;Times;serif" w:hAnsi="Times New Roman;Times;serif"/>
          <w:color w:val="000000"/>
          <w:sz w:val="20"/>
        </w:rPr>
        <w:t>.  Exercise of the purchase rights represented by this Warrant may be made, in whole or in part, at any time or times on or after the Initial Exercise Date and on or before the Termination Date by delivery to the Company of a duly executed PDF copy submitted by e-mail (or e-mail attachment) of the Notice of Exercise in the form annexed hereto (the “</w:t>
      </w:r>
      <w:r>
        <w:rPr>
          <w:rFonts w:ascii="Times New Roman;Times;serif" w:hAnsi="Times New Roman;Times;serif"/>
          <w:color w:val="000000"/>
          <w:sz w:val="20"/>
          <w:u w:val="single"/>
        </w:rPr>
        <w:t>Notice of Exercise</w:t>
      </w:r>
      <w:r>
        <w:rPr>
          <w:rFonts w:ascii="Times New Roman;Times;serif" w:hAnsi="Times New Roman;Times;serif"/>
          <w:color w:val="000000"/>
          <w:sz w:val="20"/>
        </w:rPr>
        <w:t xml:space="preserve">”).  Within the earlier of (i) one (1) Trading Day and (ii) the number of Trading Days comprising the Standard Settlement Period (as defined in Section 2(d)(i) herein), in each case following the date of exercise as aforesaid, the Holder shall deliver the aggregate Exercise Price for the Warrant Shares specified in the applicable Notice of Exercise by wire transfer or cashier’s check drawn on a United States bank unless the cashless exercise procedure specified in Section 2(c) below is specified in the applicable Notice of Exercise.  No ink-original Notice of Exercise shall be required, nor shall any medallion guarantee (or other type of guarantee or notarization) of any Notice of Exercise be required.  Notwithstanding anything herein to the contrary, the Holder shall not be required to physically surrender this Warrant to the Company until the Holder has purchased all of the Warrant Shares available hereunder and the Warrant has been exercised in full, in which case, the Holder shall surrender this Warrant to the Company for cancellation as soon as reasonably practicable following the date on which the final Notice of Exercise is delivered to the Company.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 the Company shall maintain records showing the number of Warrant Shares purchased and the date of such purchases.  The Company shall deliver any objection to any Notice of Exercise within one (1) Trading Day of receipt of such notice.  </w:t>
      </w:r>
      <w:r>
        <w:rPr>
          <w:rFonts w:ascii="Times New Roman;Times;serif" w:hAnsi="Times New Roman;Times;serif"/>
          <w:b/>
          <w:color w:val="000000"/>
          <w:sz w:val="20"/>
        </w:rPr>
        <w:t>The Holder and any assignee, by acceptance of this Warrant, acknowledge and agree that, by reason of the provisions of this paragraph, following the purchase of a portion of the Warrant Shares hereunder, the number of Warrant Shares available for purchase hereunder at any given time may be less than the amount stated on the face hereof.</w:t>
      </w:r>
    </w:p>
    <w:p>
      <w:pPr>
        <w:pStyle w:val="TextBody"/>
        <w:bidi w:val="0"/>
        <w:spacing w:lineRule="auto" w:line="300" w:before="0" w:after="0"/>
        <w:jc w:val="left"/>
        <w:rPr/>
      </w:pPr>
      <w:r>
        <w:rPr/>
      </w:r>
    </w:p>
    <w:p>
      <w:pPr>
        <w:pStyle w:val="TextBody"/>
        <w:bidi w:val="0"/>
        <w:spacing w:lineRule="auto" w:line="300"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b)          </w:t>
      </w:r>
      <w:r>
        <w:rPr>
          <w:rFonts w:ascii="Times New Roman;Times;serif" w:hAnsi="Times New Roman;Times;serif"/>
          <w:color w:val="000000"/>
          <w:sz w:val="20"/>
          <w:u w:val="single"/>
        </w:rPr>
        <w:t>Exercise Price</w:t>
      </w:r>
      <w:r>
        <w:rPr>
          <w:rFonts w:ascii="Times New Roman;Times;serif" w:hAnsi="Times New Roman;Times;serif"/>
          <w:color w:val="000000"/>
          <w:sz w:val="20"/>
        </w:rPr>
        <w:t xml:space="preserve">.  The exercise price per Ordinary Share under this Warrant shall be </w:t>
      </w:r>
      <w:r>
        <w:rPr>
          <w:rFonts w:ascii="Times New Roman;Times;serif" w:hAnsi="Times New Roman;Times;serif"/>
          <w:b/>
          <w:color w:val="000000"/>
          <w:sz w:val="20"/>
        </w:rPr>
        <w:t>$5.40</w:t>
      </w:r>
      <w:r>
        <w:rPr>
          <w:rFonts w:ascii="Times New Roman;Times;serif" w:hAnsi="Times New Roman;Times;serif"/>
          <w:color w:val="000000"/>
          <w:sz w:val="20"/>
        </w:rPr>
        <w:t>, subject to adjustment hereunder (the “</w:t>
      </w:r>
      <w:r>
        <w:rPr>
          <w:rFonts w:ascii="Times New Roman;Times;serif" w:hAnsi="Times New Roman;Times;serif"/>
          <w:color w:val="000000"/>
          <w:sz w:val="20"/>
          <w:u w:val="single"/>
        </w:rPr>
        <w:t>Exercise Price</w:t>
      </w:r>
      <w:r>
        <w:rPr>
          <w:rFonts w:ascii="Times New Roman;Times;serif" w:hAnsi="Times New Roman;Times;serif"/>
          <w:color w:val="000000"/>
          <w:sz w:val="20"/>
        </w:rPr>
        <w:t>”).</w:t>
      </w:r>
    </w:p>
    <w:p>
      <w:pPr>
        <w:pStyle w:val="TextBody"/>
        <w:bidi w:val="0"/>
        <w:spacing w:lineRule="auto" w:line="300"/>
        <w:jc w:val="left"/>
        <w:rPr/>
      </w:pPr>
      <w:r>
        <w:rPr/>
      </w:r>
    </w:p>
    <w:p>
      <w:pPr>
        <w:pStyle w:val="HorizontalLine"/>
        <w:pBdr>
          <w:bottom w:val="single" w:sz="12" w:space="0" w:color="808080"/>
        </w:pBdr>
        <w:bidi w:val="0"/>
        <w:spacing w:lineRule="auto" w:line="300"/>
        <w:jc w:val="left"/>
        <w:rPr/>
      </w:pPr>
      <w:r>
        <w:rPr/>
      </w:r>
    </w:p>
    <w:p>
      <w:pPr>
        <w:pStyle w:val="TextBody"/>
        <w:bidi w:val="0"/>
        <w:spacing w:lineRule="auto" w:line="240" w:before="0" w:after="0"/>
        <w:jc w:val="both"/>
        <w:rPr>
          <w:rFonts w:ascii="Times New Roman;Times;serif" w:hAnsi="Times New Roman;Times;serif"/>
          <w:color w:val="000000"/>
          <w:sz w:val="20"/>
        </w:rPr>
      </w:pPr>
      <w:r>
        <w:rPr>
          <w:rFonts w:ascii="Times New Roman;Times;serif" w:hAnsi="Times New Roman;Times;serif"/>
          <w:color w:val="000000"/>
          <w:sz w:val="20"/>
        </w:rPr>
        <w:t>1 Insert the date that is the five (5) year anniversary of the Initial Exercise Date, provided that, if such date is not a Trading Day, insert the immediately following Trading Day.</w:t>
      </w:r>
    </w:p>
    <w:p>
      <w:pPr>
        <w:pStyle w:val="HorizontalLine"/>
        <w:pBdr>
          <w:bottom w:val="single" w:sz="12" w:space="0" w:color="808080"/>
        </w:pBdr>
        <w:bidi w:val="0"/>
        <w:spacing w:lineRule="auto" w:line="300" w:before="200" w:after="200"/>
        <w:jc w:val="left"/>
        <w:rPr/>
      </w:pPr>
      <w:r>
        <w:rPr/>
      </w:r>
    </w:p>
    <w:p>
      <w:pPr>
        <w:pStyle w:val="TextBody"/>
        <w:bidi w:val="0"/>
        <w:spacing w:lineRule="auto" w:line="300"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c)          </w:t>
      </w:r>
      <w:r>
        <w:rPr>
          <w:rFonts w:ascii="Times New Roman;Times;serif" w:hAnsi="Times New Roman;Times;serif"/>
          <w:color w:val="000000"/>
          <w:sz w:val="20"/>
          <w:u w:val="single"/>
        </w:rPr>
        <w:t>Cashless Exercise</w:t>
      </w:r>
      <w:r>
        <w:rPr>
          <w:rFonts w:ascii="Times New Roman;Times;serif" w:hAnsi="Times New Roman;Times;serif"/>
          <w:color w:val="000000"/>
          <w:sz w:val="20"/>
        </w:rPr>
        <w:t>.  At any time, this Warrant may also be exercised, in whole or in part, by means of a “cashless exercise” in which the Holder shall be entitled to receive a number of Warrant Shares equal to the quotient obtained by dividing [(A-B) (X)] by (A), where:</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2070" w:right="0" w:hanging="630"/>
        <w:jc w:val="both"/>
        <w:rPr>
          <w:rFonts w:ascii="Times New Roman;Times;serif" w:hAnsi="Times New Roman;Times;serif"/>
          <w:color w:val="000000"/>
          <w:sz w:val="20"/>
        </w:rPr>
      </w:pPr>
      <w:r>
        <w:rPr>
          <w:rFonts w:ascii="Times New Roman;Times;serif" w:hAnsi="Times New Roman;Times;serif"/>
          <w:color w:val="000000"/>
          <w:sz w:val="20"/>
        </w:rPr>
        <w:t>(A) = as applicable: (i) the VWAP on the Trading Day immediately preceding the date of the applicable Notice of Exercise if such Notice of Exercise is (1) both executed and delivered pursuant to Section 2(a) hereof on a day that is not a Trading Day or (2) both executed and delivered pursuant to Section 2(a) hereof on a Trading Day prior to the opening of “regular trading hours” (as defined in Rule 600(b) of Regulation NMS promulgated under the federal securities laws) on such Trading Day, (ii) at the option of the Holder, either (y) the VWAP on the Trading Day immediately preceding the date of the applicable Notice of Exercise or (z) the Bid Price of the Ordinary Shares on the principal Trading Market as reported by Bloomberg L.P. (“</w:t>
      </w:r>
      <w:r>
        <w:rPr>
          <w:rFonts w:ascii="Times New Roman;Times;serif" w:hAnsi="Times New Roman;Times;serif"/>
          <w:color w:val="000000"/>
          <w:sz w:val="20"/>
          <w:u w:val="single"/>
        </w:rPr>
        <w:t>Bloomberg</w:t>
      </w:r>
      <w:r>
        <w:rPr>
          <w:rFonts w:ascii="Times New Roman;Times;serif" w:hAnsi="Times New Roman;Times;serif"/>
          <w:color w:val="000000"/>
          <w:sz w:val="20"/>
        </w:rPr>
        <w:t>”) as of the time of the Holder’s execution of the applicable Notice of Exercise if such Notice of Exercise is executed during “regular trading hours” on a Trading Day and is delivered within two (2) hours thereafter (including until two (2) hours after the close of “regular trading hours” on a Trading Day) pursuant to Section 2(a) hereof or (iii) the VWAP on the date of the applicable Notice of Exercise if the date of such Notice of Exercise is a Trading Day and such Notice of Exercise is both executed and delivered pursuant to Section 2(a) hereof after the close of “regular trading hours” on such Trading Day;</w:t>
      </w:r>
    </w:p>
    <w:p>
      <w:pPr>
        <w:pStyle w:val="TextBody"/>
        <w:bidi w:val="0"/>
        <w:spacing w:lineRule="auto" w:line="300" w:before="0" w:after="0"/>
        <w:ind w:left="2070" w:right="0" w:hanging="630"/>
        <w:jc w:val="both"/>
        <w:rPr>
          <w:rFonts w:ascii="Times New Roman;Times;serif" w:hAnsi="Times New Roman;Times;serif"/>
          <w:sz w:val="20"/>
        </w:rPr>
      </w:pPr>
      <w:r>
        <w:rPr>
          <w:rFonts w:ascii="Times New Roman;Times;serif" w:hAnsi="Times New Roman;Times;serif"/>
          <w:sz w:val="20"/>
        </w:rPr>
      </w:r>
    </w:p>
    <w:p>
      <w:pPr>
        <w:pStyle w:val="TextBody"/>
        <w:bidi w:val="0"/>
        <w:spacing w:lineRule="auto" w:line="300" w:before="0" w:after="0"/>
        <w:ind w:left="2160" w:right="0" w:hanging="720"/>
        <w:jc w:val="both"/>
        <w:rPr>
          <w:rFonts w:ascii="Times New Roman;Times;serif" w:hAnsi="Times New Roman;Times;serif"/>
          <w:color w:val="000000"/>
          <w:sz w:val="20"/>
        </w:rPr>
      </w:pPr>
      <w:r>
        <w:rPr>
          <w:rFonts w:ascii="Times New Roman;Times;serif" w:hAnsi="Times New Roman;Times;serif"/>
          <w:color w:val="000000"/>
          <w:sz w:val="20"/>
        </w:rPr>
        <w:t>(B) = the Exercise Price of this Warrant, as adjusted hereunder; and</w:t>
      </w:r>
    </w:p>
    <w:p>
      <w:pPr>
        <w:pStyle w:val="TextBody"/>
        <w:bidi w:val="0"/>
        <w:spacing w:lineRule="auto" w:line="300" w:before="0" w:after="0"/>
        <w:jc w:val="left"/>
        <w:rPr/>
      </w:pPr>
      <w:r>
        <w:rPr/>
      </w:r>
    </w:p>
    <w:p>
      <w:pPr>
        <w:pStyle w:val="TextBody"/>
        <w:bidi w:val="0"/>
        <w:spacing w:lineRule="auto" w:line="300" w:before="0" w:after="0"/>
        <w:ind w:left="2070" w:right="0" w:hanging="630"/>
        <w:jc w:val="both"/>
        <w:rPr>
          <w:rFonts w:ascii="Times New Roman;Times;serif" w:hAnsi="Times New Roman;Times;serif"/>
          <w:color w:val="000000"/>
          <w:sz w:val="20"/>
        </w:rPr>
      </w:pPr>
      <w:r>
        <w:rPr>
          <w:rFonts w:ascii="Times New Roman;Times;serif" w:hAnsi="Times New Roman;Times;serif"/>
          <w:color w:val="000000"/>
          <w:sz w:val="20"/>
        </w:rPr>
        <w:t>(X) = the number of Warrant Shares that would be issuable upon exercise of this Warrant in accordance with the terms of this Warrant if such exercise were by means of a cash exercise rather than a cashless exercise.</w:t>
      </w:r>
    </w:p>
    <w:p>
      <w:pPr>
        <w:pStyle w:val="TextBody"/>
        <w:bidi w:val="0"/>
        <w:spacing w:lineRule="auto" w:line="300" w:before="0" w:after="0"/>
        <w:jc w:val="left"/>
        <w:rPr/>
      </w:pPr>
      <w:r>
        <w:rPr/>
      </w:r>
    </w:p>
    <w:p>
      <w:pPr>
        <w:pStyle w:val="TextBody"/>
        <w:bidi w:val="0"/>
        <w:spacing w:lineRule="auto" w:line="300" w:before="0" w:after="0"/>
        <w:ind w:left="720" w:right="0" w:firstLine="720"/>
        <w:jc w:val="both"/>
        <w:rPr>
          <w:color w:val="000000"/>
        </w:rPr>
      </w:pPr>
      <w:r>
        <w:rPr>
          <w:color w:val="000000"/>
        </w:rPr>
        <w:t>“</w:t>
      </w:r>
      <w:r>
        <w:rPr>
          <w:rFonts w:ascii="Times New Roman;Times;serif" w:hAnsi="Times New Roman;Times;serif"/>
          <w:color w:val="000000"/>
          <w:sz w:val="20"/>
          <w:u w:val="single"/>
        </w:rPr>
        <w:t>Bid Price</w:t>
      </w:r>
      <w:r>
        <w:rPr>
          <w:rFonts w:ascii="Times New Roman;Times;serif" w:hAnsi="Times New Roman;Times;serif"/>
          <w:color w:val="000000"/>
          <w:sz w:val="20"/>
        </w:rPr>
        <w:t>” means, for any date, the price determined by the first of the following clauses that applies: (a) if the Ordinary Shares are then listed or quoted on a Trading Market, the bid price of the Ordinary Shares for the time in question (or the nearest preceding date) on the Trading Market on which the Ordinary Shares are then listed or quoted as reported by Bloomberg (based on a Trading Day from 9:30 a.m. (New York City time) to 4:02 p.m. (New York City time)), (b)  if OTCQB Venture Market (“</w:t>
      </w:r>
      <w:r>
        <w:rPr>
          <w:rFonts w:ascii="Times New Roman;Times;serif" w:hAnsi="Times New Roman;Times;serif"/>
          <w:color w:val="000000"/>
          <w:sz w:val="20"/>
          <w:u w:val="single"/>
        </w:rPr>
        <w:t>OTCQB</w:t>
      </w:r>
      <w:r>
        <w:rPr>
          <w:rFonts w:ascii="Times New Roman;Times;serif" w:hAnsi="Times New Roman;Times;serif"/>
          <w:color w:val="000000"/>
          <w:sz w:val="20"/>
        </w:rPr>
        <w:t>”) or the OTCQX Best Market (“</w:t>
      </w:r>
      <w:r>
        <w:rPr>
          <w:rFonts w:ascii="Times New Roman;Times;serif" w:hAnsi="Times New Roman;Times;serif"/>
          <w:color w:val="000000"/>
          <w:sz w:val="20"/>
          <w:u w:val="single"/>
        </w:rPr>
        <w:t>OTCQX</w:t>
      </w:r>
      <w:r>
        <w:rPr>
          <w:rFonts w:ascii="Times New Roman;Times;serif" w:hAnsi="Times New Roman;Times;serif"/>
          <w:color w:val="000000"/>
          <w:sz w:val="20"/>
        </w:rPr>
        <w:t>”) is not a Trading Market, the volume weighted average price of the Ordinary Shares for such date (or the nearest preceding date) on OTCQB or OTCQX as applicable, (c) if the Ordinary Shares are not then listed or quoted for trading on OTCQB or OTCQX and if prices for the Ordinary Shares are then reported on the Pink Open Market (“</w:t>
      </w:r>
      <w:r>
        <w:rPr>
          <w:rFonts w:ascii="Times New Roman;Times;serif" w:hAnsi="Times New Roman;Times;serif"/>
          <w:color w:val="000000"/>
          <w:sz w:val="20"/>
          <w:u w:val="single"/>
        </w:rPr>
        <w:t>Pink Market</w:t>
      </w:r>
      <w:r>
        <w:rPr>
          <w:rFonts w:ascii="Times New Roman;Times;serif" w:hAnsi="Times New Roman;Times;serif"/>
          <w:color w:val="000000"/>
          <w:sz w:val="20"/>
        </w:rPr>
        <w:t>”) operated by the OTC Markets, Inc. (or a similar organization or agency succeeding to its functions of reporting prices), the most recent bid price per Ordinary Share so reported, or (d) in all other cases, the fair market value of an Ordinary Share as determined by an independent appraiser selected in good faith by the Holders of a majority in interest of the Securities then outstanding and reasonably acceptable to the Company, the fees and expenses of which shall be paid by the Company.</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color w:val="000000"/>
        </w:rPr>
      </w:pPr>
      <w:r>
        <w:rPr>
          <w:color w:val="000000"/>
        </w:rPr>
        <w:t>“</w:t>
      </w:r>
      <w:r>
        <w:rPr>
          <w:rFonts w:ascii="Times New Roman;Times;serif" w:hAnsi="Times New Roman;Times;serif"/>
          <w:color w:val="000000"/>
          <w:sz w:val="20"/>
          <w:u w:val="single"/>
        </w:rPr>
        <w:t>VWAP</w:t>
      </w:r>
      <w:r>
        <w:rPr>
          <w:rFonts w:ascii="Times New Roman;Times;serif" w:hAnsi="Times New Roman;Times;serif"/>
          <w:color w:val="000000"/>
          <w:sz w:val="20"/>
        </w:rPr>
        <w:t>” means, for any date, the price determined by the first of the following clauses that applies: (a) if the Ordinary Shares are then listed or quoted on a Trading Market, the daily volume weighted average price of the Ordinary Shares for such date (or the nearest preceding date) on the Trading Market on which the Ordinary Shares are then listed or quoted as reported by Bloomberg (based on a Trading Day from 9:30 a.m. (New York City time) to 4:02 p.m. (New York City time)), (b)  if OTCQB or OTCQX is not a Trading Market, the volume weighted average price of the Ordinary Shares for such date (or the nearest preceding date) on OTCQB or OTCQX as applicable, (c) if the Ordinary Shares are not then listed or quoted for trading on OTCQB or OTCQX and if prices for the Ordinary Shares are then reported on the Pink Market operated by the OTC Markets, Inc. (or a similar organization or agency succeeding to its functions of reporting prices), the most recent bid price per Ordinary Share so reported, or (d) in all other cases, the fair market value of an Ordinary Share as determined by an independent appraiser selected in good faith by the Holders of a majority in interest of the Securities then outstanding and reasonably acceptable to the Company, the fees and expenses of which shall be paid by the Company.</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If Warrant Shares are issued in such a cashless exercise, the parties acknowledge and agree that in accordance with Section 3(a)(9) of the Securities Act, the holding period of the Warrant Shares being issued may be tacked on to the holding period of this Warrant.  The Company agrees not to take any position contrary to this Section 2(c).</w:t>
      </w:r>
    </w:p>
    <w:p>
      <w:pPr>
        <w:pStyle w:val="TextBody"/>
        <w:bidi w:val="0"/>
        <w:spacing w:lineRule="auto" w:line="300"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C - 2</w:t>
      </w:r>
    </w:p>
    <w:p>
      <w:pPr>
        <w:pStyle w:val="HorizontalLine"/>
        <w:pBdr>
          <w:bottom w:val="single" w:sz="12" w:space="0" w:color="808080"/>
        </w:pBdr>
        <w:bidi w:val="0"/>
        <w:spacing w:lineRule="auto" w:line="300" w:before="200" w:after="200"/>
        <w:jc w:val="left"/>
        <w:rPr/>
      </w:pPr>
      <w:r>
        <w:rPr/>
      </w:r>
    </w:p>
    <w:p>
      <w:pPr>
        <w:pStyle w:val="Normal"/>
        <w:bidi w:val="0"/>
        <w:spacing w:lineRule="auto" w:line="300" w:before="0" w:after="0"/>
        <w:jc w:val="left"/>
        <w:rPr>
          <w:sz w:val="4"/>
          <w:szCs w:val="4"/>
        </w:rPr>
      </w:pPr>
      <w:r>
        <w:rPr>
          <w:sz w:val="4"/>
          <w:szCs w:val="4"/>
        </w:rPr>
      </w:r>
      <w:bookmarkStart w:id="246" w:name="za65098f1ee4d4f69abf26f6ab274967d"/>
      <w:bookmarkStart w:id="247" w:name="za65098f1ee4d4f69abf26f6ab274967d"/>
      <w:bookmarkEnd w:id="247"/>
    </w:p>
    <w:tbl>
      <w:tblPr>
        <w:tblW w:w="2133" w:type="dxa"/>
        <w:jc w:val="left"/>
        <w:tblInd w:w="0" w:type="dxa"/>
        <w:tblLayout w:type="fixed"/>
        <w:tblCellMar>
          <w:top w:w="0" w:type="dxa"/>
          <w:left w:w="0" w:type="dxa"/>
          <w:bottom w:w="0" w:type="dxa"/>
          <w:right w:w="0" w:type="dxa"/>
        </w:tblCellMar>
      </w:tblPr>
      <w:tblGrid>
        <w:gridCol w:w="38"/>
        <w:gridCol w:w="185"/>
        <w:gridCol w:w="1910"/>
      </w:tblGrid>
      <w:tr>
        <w:trPr/>
        <w:tc>
          <w:tcPr>
            <w:tcW w:w="38" w:type="dxa"/>
            <w:tcBorders/>
            <w:vAlign w:val="center"/>
          </w:tcPr>
          <w:p>
            <w:pPr>
              <w:pStyle w:val="TableContents"/>
              <w:bidi w:val="0"/>
              <w:spacing w:before="0" w:after="283"/>
              <w:jc w:val="left"/>
              <w:rPr/>
            </w:pPr>
            <w:r>
              <w:rPr/>
            </w:r>
          </w:p>
        </w:tc>
        <w:tc>
          <w:tcPr>
            <w:tcW w:w="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191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u w:val="single"/>
              </w:rPr>
              <w:t>Mechanics of Exercise</w:t>
            </w:r>
            <w:r>
              <w:rPr>
                <w:rFonts w:ascii="Times New Roman;Times;serif" w:hAnsi="Times New Roman;Times;serif"/>
                <w:sz w:val="20"/>
              </w:rPr>
              <w:t>.</w:t>
            </w:r>
          </w:p>
        </w:tc>
      </w:tr>
    </w:tbl>
    <w:p>
      <w:pPr>
        <w:pStyle w:val="TextBody"/>
        <w:bidi w:val="0"/>
        <w:spacing w:lineRule="auto" w:line="300" w:before="0" w:after="0"/>
        <w:jc w:val="left"/>
        <w:rPr>
          <w:color w:val="000000"/>
        </w:rPr>
      </w:pPr>
      <w:r>
        <w:rPr>
          <w:color w:val="000000"/>
        </w:rPr>
        <w:t> </w:t>
      </w:r>
    </w:p>
    <w:p>
      <w:pPr>
        <w:pStyle w:val="TextBody"/>
        <w:bidi w:val="0"/>
        <w:spacing w:lineRule="auto" w:line="240" w:before="0" w:after="0"/>
        <w:ind w:left="2160" w:right="0" w:firstLine="720"/>
        <w:jc w:val="both"/>
        <w:rPr>
          <w:rFonts w:ascii="Times New Roman;Times;serif" w:hAnsi="Times New Roman;Times;serif"/>
          <w:color w:val="000000"/>
          <w:sz w:val="20"/>
        </w:rPr>
      </w:pPr>
      <w:r>
        <w:rPr>
          <w:rFonts w:ascii="Times New Roman;Times;serif" w:hAnsi="Times New Roman;Times;serif"/>
          <w:color w:val="000000"/>
          <w:sz w:val="20"/>
        </w:rPr>
        <w:t>i.          </w:t>
      </w:r>
      <w:r>
        <w:rPr>
          <w:rFonts w:ascii="Times New Roman;Times;serif" w:hAnsi="Times New Roman;Times;serif"/>
          <w:color w:val="000000"/>
          <w:sz w:val="20"/>
          <w:u w:val="single"/>
        </w:rPr>
        <w:t>Delivery of Warrant Shares Upon Exercise</w:t>
      </w:r>
      <w:r>
        <w:rPr>
          <w:rFonts w:ascii="Times New Roman;Times;serif" w:hAnsi="Times New Roman;Times;serif"/>
          <w:color w:val="000000"/>
          <w:sz w:val="20"/>
        </w:rPr>
        <w:t>.  The Company shall cause the Warrant Shares purchased hereunder to be transmitted by the Transfer Agent to the Holder by crediting the account of the Holder’s or its designee’s balance account with The Depository Trust Company through its Deposit or Withdrawal at Custodian system (“</w:t>
      </w:r>
      <w:r>
        <w:rPr>
          <w:rFonts w:ascii="Times New Roman;Times;serif" w:hAnsi="Times New Roman;Times;serif"/>
          <w:color w:val="000000"/>
          <w:sz w:val="20"/>
          <w:u w:val="single"/>
        </w:rPr>
        <w:t>DWAC</w:t>
      </w:r>
      <w:r>
        <w:rPr>
          <w:rFonts w:ascii="Times New Roman;Times;serif" w:hAnsi="Times New Roman;Times;serif"/>
          <w:color w:val="000000"/>
          <w:sz w:val="20"/>
        </w:rPr>
        <w:t>”) if the Company is then a participant in such system and either (A) there is an effective registration statement permitting the issuance of the Warrant Shares to or resale of the Warrant Shares by the Holder or (B) the Warrant Shares are eligible for resale by the Holder without volume or manner-of-sale limitations pursuant to Rule 144 (assuming cashless exercise of the Warrants), and otherwise by physical delivery of a certificate or a book-entry certificate, registered in the Company’s share register in the name of the Holder or its designee, for the number of Warrant Shares to which the Holder is entitled pursuant to such exercise to the address specified by the Holder in the Notice of Exercise by the date that is the earlier of (i) one (1) Trading Day and (ii) the number of Trading Days comprising the Standard Settlement Period, in each case after the delivery to the Company of the Notice of Exercise (such date, the “</w:t>
      </w:r>
      <w:r>
        <w:rPr>
          <w:rFonts w:ascii="Times New Roman;Times;serif" w:hAnsi="Times New Roman;Times;serif"/>
          <w:color w:val="000000"/>
          <w:sz w:val="20"/>
          <w:u w:val="single"/>
        </w:rPr>
        <w:t>Warrant Share Delivery Date</w:t>
      </w:r>
      <w:r>
        <w:rPr>
          <w:rFonts w:ascii="Times New Roman;Times;serif" w:hAnsi="Times New Roman;Times;serif"/>
          <w:color w:val="000000"/>
          <w:sz w:val="20"/>
        </w:rPr>
        <w:t>”).  Upon delivery of the Notice of Exercise, the Holder shall be deemed for all corporate purposes to have become the holder of record of the Warrant Shares with respect to which this Warrant has been exercised, irrespective of the date of delivery of the Warrant Shares, provided that payment of the aggregate Exercise Price (other than in the case of a cashless exercise) is received within the earlier of (i) one (1) Trading Day and (ii) the number of Trading Days comprising the Standard Settlement Period, in each case after the delivery to the Company of the Notice of Exercise.  If the Company fails for any reason to deliver to the Holder the Warrant Shares subject to a Notice of Exercise by the Warrant Share Delivery Date, the Company shall pay to the Holder, in cash, as liquidated damages and not as a penalty, for each $1,000 of Warrant Shares subject to such exercise (based on the VWAP of the Ordinary Shares on the date of the applicable Notice of Exercise), $10 per Trading Day (increasing to $20 per Trading Day on the third (3rd) Trading Day after the Warrant Share Delivery Date) for each Trading Day after such Warrant Share Delivery Date until such Warrant Shares are delivered or Holder rescinds such exercise.  The Company agrees to maintain a transfer agent that is a participant in the FAST program so long as this Warrant remains outstanding and exercisable.  As used herein, “</w:t>
      </w:r>
      <w:r>
        <w:rPr>
          <w:rFonts w:ascii="Times New Roman;Times;serif" w:hAnsi="Times New Roman;Times;serif"/>
          <w:color w:val="000000"/>
          <w:sz w:val="20"/>
          <w:u w:val="single"/>
        </w:rPr>
        <w:t>Standard Settlement Period</w:t>
      </w:r>
      <w:r>
        <w:rPr>
          <w:rFonts w:ascii="Times New Roman;Times;serif" w:hAnsi="Times New Roman;Times;serif"/>
          <w:color w:val="000000"/>
          <w:sz w:val="20"/>
        </w:rPr>
        <w:t>” means the standard settlement period, expressed in a number of Trading Days, on the Company’s primary Trading Market with respect to the Ordinary Shares as in effect on the date of delivery of the Notice of Exercise.</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2160" w:right="0" w:firstLine="720"/>
        <w:jc w:val="both"/>
        <w:rPr>
          <w:rFonts w:ascii="Times New Roman;Times;serif" w:hAnsi="Times New Roman;Times;serif"/>
          <w:color w:val="000000"/>
          <w:sz w:val="20"/>
        </w:rPr>
      </w:pPr>
      <w:r>
        <w:rPr>
          <w:rFonts w:ascii="Times New Roman;Times;serif" w:hAnsi="Times New Roman;Times;serif"/>
          <w:color w:val="000000"/>
          <w:sz w:val="20"/>
        </w:rPr>
        <w:t>ii.          </w:t>
      </w:r>
      <w:r>
        <w:rPr>
          <w:rFonts w:ascii="Times New Roman;Times;serif" w:hAnsi="Times New Roman;Times;serif"/>
          <w:color w:val="000000"/>
          <w:sz w:val="20"/>
          <w:u w:val="single"/>
        </w:rPr>
        <w:t>Delivery of New Warrants Upon Exercise</w:t>
      </w:r>
      <w:r>
        <w:rPr>
          <w:rFonts w:ascii="Times New Roman;Times;serif" w:hAnsi="Times New Roman;Times;serif"/>
          <w:color w:val="000000"/>
          <w:sz w:val="20"/>
        </w:rPr>
        <w:t>.  If this Warrant shall have been exercised in part, the Company shall, at the request of a Holder and upon surrender of this Warrant certificate, at the time of delivery of the Warrant Shares, deliver to the Holder a new Warrant evidencing the rights of the Holder to purchase the unpurchased Warrant Shares called for by this Warrant, which new Warrant shall in all other respects be identical with this Warrant.</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2160" w:right="0" w:firstLine="720"/>
        <w:jc w:val="both"/>
        <w:rPr>
          <w:rFonts w:ascii="Times New Roman;Times;serif" w:hAnsi="Times New Roman;Times;serif"/>
          <w:color w:val="000000"/>
          <w:sz w:val="20"/>
        </w:rPr>
      </w:pPr>
      <w:r>
        <w:rPr>
          <w:rFonts w:ascii="Times New Roman;Times;serif" w:hAnsi="Times New Roman;Times;serif"/>
          <w:color w:val="000000"/>
          <w:sz w:val="20"/>
        </w:rPr>
        <w:t>iii.          </w:t>
      </w:r>
      <w:r>
        <w:rPr>
          <w:rFonts w:ascii="Times New Roman;Times;serif" w:hAnsi="Times New Roman;Times;serif"/>
          <w:color w:val="000000"/>
          <w:sz w:val="20"/>
          <w:u w:val="single"/>
        </w:rPr>
        <w:t>Rescission Rights</w:t>
      </w:r>
      <w:r>
        <w:rPr>
          <w:rFonts w:ascii="Times New Roman;Times;serif" w:hAnsi="Times New Roman;Times;serif"/>
          <w:color w:val="000000"/>
          <w:sz w:val="20"/>
        </w:rPr>
        <w:t>.  If the Company fails to cause the Transfer Agent to transmit to the Holder the Warrant Shares pursuant to Section 2(d)(i) by the Warrant Share Delivery Date, then the Holder will have the right to rescind such exercise.</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2160" w:right="0" w:firstLine="720"/>
        <w:jc w:val="both"/>
        <w:rPr>
          <w:rFonts w:ascii="Times New Roman;Times;serif" w:hAnsi="Times New Roman;Times;serif"/>
          <w:color w:val="000000"/>
          <w:sz w:val="20"/>
        </w:rPr>
      </w:pPr>
      <w:r>
        <w:rPr>
          <w:rFonts w:ascii="Times New Roman;Times;serif" w:hAnsi="Times New Roman;Times;serif"/>
          <w:color w:val="000000"/>
          <w:sz w:val="20"/>
        </w:rPr>
        <w:t>iv.          </w:t>
      </w:r>
      <w:r>
        <w:rPr>
          <w:rFonts w:ascii="Times New Roman;Times;serif" w:hAnsi="Times New Roman;Times;serif"/>
          <w:color w:val="000000"/>
          <w:sz w:val="20"/>
          <w:u w:val="single"/>
        </w:rPr>
        <w:t>Compensation for Buy-In on Failure to Timely Deliver Warrant Shares Upon Exercise</w:t>
      </w:r>
      <w:r>
        <w:rPr>
          <w:rFonts w:ascii="Times New Roman;Times;serif" w:hAnsi="Times New Roman;Times;serif"/>
          <w:color w:val="000000"/>
          <w:sz w:val="20"/>
        </w:rPr>
        <w:t>.  In addition to any other rights available to the Holder, if the Company fails to cause the Transfer Agent to transmit to the Holder the Warrant Shares in accordance with the provisions of Section 2(d)(i) above pursuant to an exercise on or before the Warrant Share Delivery Date, and if after such date the Holder is required by its broker to purchase (in an open market transaction or otherwise) or the Holder’s brokerage firm otherwise purchases, Ordinary Shares to deliver in satisfaction of a sale by the Holder of the Warrant Shares which the Holder anticipated receiving upon such exercise (a “</w:t>
      </w:r>
      <w:r>
        <w:rPr>
          <w:rFonts w:ascii="Times New Roman;Times;serif" w:hAnsi="Times New Roman;Times;serif"/>
          <w:color w:val="000000"/>
          <w:sz w:val="20"/>
          <w:u w:val="single"/>
        </w:rPr>
        <w:t>Buy-In</w:t>
      </w:r>
      <w:r>
        <w:rPr>
          <w:rFonts w:ascii="Times New Roman;Times;serif" w:hAnsi="Times New Roman;Times;serif"/>
          <w:color w:val="000000"/>
          <w:sz w:val="20"/>
        </w:rPr>
        <w:t>”), then the Company shall (A) pay in cash to the Holder the amount, if any, by which (x) the Holder’s total purchase price (including brokerage commissions, if any) for the Ordinary Shares so purchased exceeds (y) the amount obtained by multiplying (1) the number of Warrant Shares that the Company was required to deliver to the Holder in connection with the exercise at issue times (2) the price at which the sell order giving rise to such purchase obligation was executed, and (B) at the option of the Holder, either reinstate the portion of the Warrant and equivalent number of Warrant Shares for which such exercise was not honored (in which case such exercise shall be deemed rescinded) or deliver to the Holder the number of Ordinary Shares that would have been issued had the Company timely complied with its exercise and delivery obligations hereunder.  For example, if the Holder purchases Ordinary Shares having a total purchase price of $11,000 to cover a Buy-In with respect to an attempted exercise of Ordinary Shares with an aggregate sale price giving rise to such purchase obligation of $10,000, under clause (A) of the immediately preceding sentence the Company shall be required to pay the Holder $1,000. The Holder shall provide the Company written notice indicating the amounts payable to the Holder in respect of the Buy-In and, upon request of the Company, evidence of the amount of such loss.  Nothing herein shall limit a Holder’s right to pursue any other remedies available to it hereunder, at law or in equity including, without limitation, a decree of specific performance and/or injunctive relief with respect to the Company’s failure to timely deliver Ordinary Shares upon exercise of the Warrant as required pursuant to the terms hereof.</w:t>
      </w:r>
    </w:p>
    <w:p>
      <w:pPr>
        <w:pStyle w:val="TextBody"/>
        <w:bidi w:val="0"/>
        <w:spacing w:lineRule="auto" w:line="300"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C - 3</w:t>
      </w:r>
    </w:p>
    <w:p>
      <w:pPr>
        <w:pStyle w:val="HorizontalLine"/>
        <w:pBdr>
          <w:bottom w:val="single" w:sz="12" w:space="0" w:color="808080"/>
        </w:pBdr>
        <w:bidi w:val="0"/>
        <w:spacing w:lineRule="auto" w:line="300" w:before="200" w:after="200"/>
        <w:jc w:val="left"/>
        <w:rPr/>
      </w:pPr>
      <w:r>
        <w:rPr/>
      </w:r>
    </w:p>
    <w:p>
      <w:pPr>
        <w:pStyle w:val="TextBody"/>
        <w:bidi w:val="0"/>
        <w:spacing w:lineRule="auto" w:line="300" w:before="0" w:after="0"/>
        <w:ind w:left="2160" w:right="0" w:firstLine="720"/>
        <w:jc w:val="both"/>
        <w:rPr>
          <w:rFonts w:ascii="Times New Roman;Times;serif" w:hAnsi="Times New Roman;Times;serif"/>
          <w:color w:val="000000"/>
          <w:sz w:val="20"/>
        </w:rPr>
      </w:pPr>
      <w:r>
        <w:rPr>
          <w:rFonts w:ascii="Times New Roman;Times;serif" w:hAnsi="Times New Roman;Times;serif"/>
          <w:color w:val="000000"/>
          <w:sz w:val="20"/>
        </w:rPr>
        <w:t>v.          </w:t>
      </w:r>
      <w:r>
        <w:rPr>
          <w:rFonts w:ascii="Times New Roman;Times;serif" w:hAnsi="Times New Roman;Times;serif"/>
          <w:color w:val="000000"/>
          <w:sz w:val="20"/>
          <w:u w:val="single"/>
        </w:rPr>
        <w:t>No Fractional Shares or Scrip</w:t>
      </w:r>
      <w:r>
        <w:rPr>
          <w:rFonts w:ascii="Times New Roman;Times;serif" w:hAnsi="Times New Roman;Times;serif"/>
          <w:color w:val="000000"/>
          <w:sz w:val="20"/>
        </w:rPr>
        <w:t>.  No fractional shares or scrip representing fractional shares shall be issued upon the exercise of this Warrant.  As to any fraction of a share which the Holder would otherwise be entitled to purchase upon such exercise, the Company shall, at its election, either pay a cash adjustment in respect of such final fraction in an amount equal to such fraction multiplied by the Exercise Price or round down to the next whole share.</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2160" w:right="0" w:firstLine="720"/>
        <w:jc w:val="both"/>
        <w:rPr>
          <w:rFonts w:ascii="Times New Roman;Times;serif" w:hAnsi="Times New Roman;Times;serif"/>
          <w:color w:val="000000"/>
          <w:sz w:val="20"/>
        </w:rPr>
      </w:pPr>
      <w:r>
        <w:rPr>
          <w:rFonts w:ascii="Times New Roman;Times;serif" w:hAnsi="Times New Roman;Times;serif"/>
          <w:color w:val="000000"/>
          <w:sz w:val="20"/>
        </w:rPr>
        <w:t>vi.          </w:t>
      </w:r>
      <w:r>
        <w:rPr>
          <w:rFonts w:ascii="Times New Roman;Times;serif" w:hAnsi="Times New Roman;Times;serif"/>
          <w:color w:val="000000"/>
          <w:sz w:val="20"/>
          <w:u w:val="single"/>
        </w:rPr>
        <w:t>Charges, Taxes and Expenses</w:t>
      </w:r>
      <w:r>
        <w:rPr>
          <w:rFonts w:ascii="Times New Roman;Times;serif" w:hAnsi="Times New Roman;Times;serif"/>
          <w:color w:val="000000"/>
          <w:sz w:val="20"/>
        </w:rPr>
        <w:t xml:space="preserve">.  Issuance of Warrant Shares shall be made without charge to the Holder for any issue or transfer tax or other incidental expense in respect of the issuance of such Warrant Shares, all of which taxes and expenses shall be paid by the Company, and such Warrant Shares shall be issued in the name of the Holder or in such name or names as may be directed by the Holder;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however</w:t>
      </w:r>
      <w:r>
        <w:rPr>
          <w:rFonts w:ascii="Times New Roman;Times;serif" w:hAnsi="Times New Roman;Times;serif"/>
          <w:color w:val="000000"/>
          <w:sz w:val="20"/>
        </w:rPr>
        <w:t>, that in the event that Warrant Shares are to be issued in a name other than the name of the Holder, this Warrant when surrendered for exercise shall be accompanied by the Assignment Form attached hereto duly executed by the Holder and the Company may require, as a condition thereto, the payment of a sum sufficient to reimburse it for any transfer tax incidental thereto.  The Company shall pay all Transfer Agent fees required for same-day processing of any Notice of Exercise and all fees to the Depository Trust Company (or another established clearing corporation performing similar functions) required for same-day electronic delivery of the Warrant Shares.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2160" w:right="0" w:firstLine="720"/>
        <w:jc w:val="both"/>
        <w:rPr>
          <w:rFonts w:ascii="Times New Roman;Times;serif" w:hAnsi="Times New Roman;Times;serif"/>
          <w:color w:val="000000"/>
          <w:sz w:val="20"/>
        </w:rPr>
      </w:pPr>
      <w:r>
        <w:rPr>
          <w:rFonts w:ascii="Times New Roman;Times;serif" w:hAnsi="Times New Roman;Times;serif"/>
          <w:color w:val="000000"/>
          <w:sz w:val="20"/>
        </w:rPr>
        <w:t>vii.          </w:t>
      </w:r>
      <w:r>
        <w:rPr>
          <w:rFonts w:ascii="Times New Roman;Times;serif" w:hAnsi="Times New Roman;Times;serif"/>
          <w:color w:val="000000"/>
          <w:sz w:val="20"/>
          <w:u w:val="single"/>
        </w:rPr>
        <w:t>Closing of Books</w:t>
      </w:r>
      <w:r>
        <w:rPr>
          <w:rFonts w:ascii="Times New Roman;Times;serif" w:hAnsi="Times New Roman;Times;serif"/>
          <w:color w:val="000000"/>
          <w:sz w:val="20"/>
        </w:rPr>
        <w:t>.  The Company will not close its shareholder books or records in any manner which prevents the timely exercise of this Warrant, pursuant to the terms hereof.</w:t>
      </w:r>
    </w:p>
    <w:p>
      <w:pPr>
        <w:pStyle w:val="TextBody"/>
        <w:bidi w:val="0"/>
        <w:spacing w:lineRule="auto" w:line="300" w:before="0" w:after="0"/>
        <w:jc w:val="left"/>
        <w:rPr>
          <w:color w:val="000000"/>
        </w:rPr>
      </w:pPr>
      <w:r>
        <w:rPr>
          <w:color w:val="000000"/>
        </w:rPr>
        <w:t> </w:t>
      </w:r>
    </w:p>
    <w:p>
      <w:pPr>
        <w:pStyle w:val="Normal"/>
        <w:bidi w:val="0"/>
        <w:spacing w:lineRule="auto" w:line="300" w:before="0" w:after="0"/>
        <w:jc w:val="left"/>
        <w:rPr>
          <w:sz w:val="4"/>
          <w:szCs w:val="4"/>
        </w:rPr>
      </w:pPr>
      <w:r>
        <w:rPr>
          <w:sz w:val="4"/>
          <w:szCs w:val="4"/>
        </w:rPr>
      </w:r>
      <w:bookmarkStart w:id="248" w:name="z619110051c364dda8fe8fd180e50e145"/>
      <w:bookmarkStart w:id="249" w:name="z619110051c364dda8fe8fd180e50e145"/>
      <w:bookmarkEnd w:id="249"/>
    </w:p>
    <w:tbl>
      <w:tblPr>
        <w:tblW w:w="10205" w:type="dxa"/>
        <w:jc w:val="left"/>
        <w:tblInd w:w="0" w:type="dxa"/>
        <w:tblLayout w:type="fixed"/>
        <w:tblCellMar>
          <w:top w:w="0" w:type="dxa"/>
          <w:left w:w="0" w:type="dxa"/>
          <w:bottom w:w="0" w:type="dxa"/>
          <w:right w:w="0" w:type="dxa"/>
        </w:tblCellMar>
      </w:tblPr>
      <w:tblGrid>
        <w:gridCol w:w="38"/>
        <w:gridCol w:w="111"/>
        <w:gridCol w:w="10056"/>
      </w:tblGrid>
      <w:tr>
        <w:trPr/>
        <w:tc>
          <w:tcPr>
            <w:tcW w:w="38" w:type="dxa"/>
            <w:tcBorders/>
            <w:vAlign w:val="center"/>
          </w:tcPr>
          <w:p>
            <w:pPr>
              <w:pStyle w:val="TableContents"/>
              <w:bidi w:val="0"/>
              <w:spacing w:before="0" w:after="283"/>
              <w:jc w:val="left"/>
              <w:rPr/>
            </w:pPr>
            <w:r>
              <w:rPr/>
            </w:r>
          </w:p>
        </w:tc>
        <w:tc>
          <w:tcPr>
            <w:tcW w:w="11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w:t>
            </w:r>
          </w:p>
        </w:tc>
        <w:tc>
          <w:tcPr>
            <w:tcW w:w="10056" w:type="dxa"/>
            <w:tcBorders/>
            <w:vAlign w:val="center"/>
          </w:tcPr>
          <w:p>
            <w:pPr>
              <w:pStyle w:val="TableContents"/>
              <w:bidi w:val="0"/>
              <w:spacing w:lineRule="auto" w:line="240" w:before="0" w:after="0"/>
              <w:jc w:val="both"/>
              <w:rPr>
                <w:rFonts w:ascii="Times New Roman;Times;serif" w:hAnsi="Times New Roman;Times;serif"/>
                <w:sz w:val="20"/>
              </w:rPr>
            </w:pPr>
            <w:r>
              <w:rPr>
                <w:rFonts w:ascii="Times New Roman;Times;serif" w:hAnsi="Times New Roman;Times;serif"/>
                <w:sz w:val="20"/>
                <w:u w:val="single"/>
              </w:rPr>
              <w:t>Holder’s Exercise Limitations</w:t>
            </w:r>
            <w:r>
              <w:rPr>
                <w:rFonts w:ascii="Times New Roman;Times;serif" w:hAnsi="Times New Roman;Times;serif"/>
                <w:sz w:val="20"/>
              </w:rPr>
              <w:t>.   The Company shall not effect any exercise of this Warrant, and a Holder shall not have the right to exercise any portion of this Warrant, pursuant to Section 2 or otherwise, to the extent that after giving effect to such issuance after exercise as set forth on the applicable Notice of Exercise, the Holder (together with the Holder’s Affiliates, and any other Persons acting as a group together with the Holder or any of the Holder’s Affiliates (such Persons, “</w:t>
            </w:r>
            <w:r>
              <w:rPr>
                <w:rFonts w:ascii="Times New Roman;Times;serif" w:hAnsi="Times New Roman;Times;serif"/>
                <w:sz w:val="20"/>
                <w:u w:val="single"/>
              </w:rPr>
              <w:t>Attribution Parties</w:t>
            </w:r>
            <w:r>
              <w:rPr>
                <w:rFonts w:ascii="Times New Roman;Times;serif" w:hAnsi="Times New Roman;Times;serif"/>
                <w:sz w:val="20"/>
              </w:rPr>
              <w:t>”)), would beneficially own in excess of the Beneficial Ownership Limitation (as defined below).  For purposes of the foregoing sentence, the number of Ordinary Shares beneficially owned by the Holder and its Affiliates and Attribution Parties shall include the number of Ordinary Shares issuable upon exercise of this Warrant with respect to which such determination is being made, but shall exclude the number of Ordinary Shares which would be issuable upon (i) exercise of the remaining, nonexercised portion of this Warrant beneficially owned by the Holder or any of its Affiliates or Attribution Parties and (ii) exercise or conversion of the unexercised or nonconverted portion of any other securities of the Company (including, without limitation, any other Ordinary Share Equivalents) subject to a limitation on conversion or exercise analogous to the limitation contained herein beneficially owned by the Holder or any of its Affiliates or Attribution Parties.  Except as set forth in the preceding sentence, for purposes of this Section 2(e), beneficial ownership shall be calculated in accordance with Section 13(d) of the Exchange Act and the rules and regulations promulgated thereunder, it being acknowledged by the Holder that the Company is not representing to the Holder that such calculation is in compliance with Section 13(d) of the Exchange Act and the Holder is solely responsible for any schedules required to be filed in accordance therewith.  To the extent that the limitation contained in this Section 2(e) applies, the determination of whether this Warrant is exercisable (in relation to other securities owned by the Holder together with any Affiliates and Attribution Parties) and of which portion of this Warrant is exercisable shall be in the sole discretion of the Holder, and the submission of a Notice of Exercise shall be deemed to be the Holder’s determination of whether this Warrant is exercisable (in relation to other securities owned by the Holder together with any Affiliates and Attribution Parties) and of which portion of this Warrant is exercisable, in each case subject to the Beneficial Ownership Limitation, and the Company shall have no obligation to verify or confirm the accuracy of such determination.  In addition, a determination as to any group status as contemplated above shall be determined in accordance with Section 13(d) of the Exchange Act and the rules and regulations promulgated thereunder, and the Company shall have no obligation to verify or confirm the accuracy of such determination.  For purposes of this Section 2(e), in determining the number of outstanding Ordinary Shares, a Holder may rely on the number of outstanding Ordinary Shares as reflected in (A) the Company’s most recent periodic or annual report filed with the Commission, as the case may be, (B) a more recent public announcement by the Company or (C) a more recent written notice by the Company or the Transfer Agent setting forth the number of Ordinary Shares outstanding.  Upon the written or oral request of a Holder, the Company shall within one (1) Trading Day confirm orally and in writing to the Holder the number of Ordinary Shares then outstanding.  In any case, the number of outstanding Ordinary Shares shall be determined after giving effect to the conversion or exercise of securities of the Company, including this Warrant, any Additional Warrants or the Notes, by the Holder or its Affiliates or Attribution Parties since the date as of which such number of outstanding Ordinary Shares was reported.  The “</w:t>
            </w:r>
            <w:r>
              <w:rPr>
                <w:rFonts w:ascii="Times New Roman;Times;serif" w:hAnsi="Times New Roman;Times;serif"/>
                <w:sz w:val="20"/>
                <w:u w:val="single"/>
              </w:rPr>
              <w:t>Beneficial Ownership Limitation</w:t>
            </w:r>
            <w:r>
              <w:rPr>
                <w:rFonts w:ascii="Times New Roman;Times;serif" w:hAnsi="Times New Roman;Times;serif"/>
                <w:sz w:val="20"/>
              </w:rPr>
              <w:t>” shall be 4.99% of the number of Ordinary Shares outstanding immediately after giving effect to the issuance of Ordinary Shares issuable upon exercise of this Warrant.  The Holder, upon notice to the Company, may increase or decrease the Beneficial Ownership Limitation provisions of this Section 2(e), provided that the Beneficial Ownership Limitation in no event exceeds 4.99% of the number of Ordinary Shares outstanding immediately after giving effect to the issuance of Ordinary Shares upon exercise of this Warrant held by the Holder and the provisions of this Section 2(e) shall continue to apply.  Any increase in the Beneficial Ownership Limitation will not be effective until the 61st day after such notice is delivered to the Company. Any such increase or decrease will apply only to the Holder and the other Attribution Parties and not to any other holder of Warrant that is not an Attribution Party of the Holder. The provisions of this paragraph shall be construed and implemented in a manner otherwise than in strict conformity with the terms of this Section 2(e)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Warrant.</w:t>
            </w:r>
          </w:p>
        </w:tc>
      </w:tr>
    </w:tbl>
    <w:p>
      <w:pPr>
        <w:pStyle w:val="TextBody"/>
        <w:bidi w:val="0"/>
        <w:spacing w:lineRule="auto" w:line="300"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C - 4</w:t>
      </w:r>
    </w:p>
    <w:p>
      <w:pPr>
        <w:pStyle w:val="HorizontalLine"/>
        <w:pBdr>
          <w:bottom w:val="single" w:sz="12" w:space="0" w:color="808080"/>
        </w:pBdr>
        <w:bidi w:val="0"/>
        <w:spacing w:lineRule="auto" w:line="300" w:before="200" w:after="200"/>
        <w:jc w:val="left"/>
        <w:rPr/>
      </w:pPr>
      <w:r>
        <w:rPr/>
      </w:r>
    </w:p>
    <w:p>
      <w:pPr>
        <w:pStyle w:val="Normal"/>
        <w:bidi w:val="0"/>
        <w:spacing w:lineRule="auto" w:line="300" w:before="0" w:after="0"/>
        <w:jc w:val="left"/>
        <w:rPr>
          <w:sz w:val="4"/>
          <w:szCs w:val="4"/>
        </w:rPr>
      </w:pPr>
      <w:r>
        <w:rPr>
          <w:sz w:val="4"/>
          <w:szCs w:val="4"/>
        </w:rPr>
      </w:r>
      <w:bookmarkStart w:id="250" w:name="z9a25a335b4b0465bbeaee32f05e70145"/>
      <w:bookmarkStart w:id="251" w:name="z9a25a335b4b0465bbeaee32f05e70145"/>
      <w:bookmarkEnd w:id="251"/>
    </w:p>
    <w:tbl>
      <w:tblPr>
        <w:tblW w:w="10205" w:type="dxa"/>
        <w:jc w:val="left"/>
        <w:tblInd w:w="0" w:type="dxa"/>
        <w:tblLayout w:type="fixed"/>
        <w:tblCellMar>
          <w:top w:w="0" w:type="dxa"/>
          <w:left w:w="0" w:type="dxa"/>
          <w:bottom w:w="0" w:type="dxa"/>
          <w:right w:w="0" w:type="dxa"/>
        </w:tblCellMar>
      </w:tblPr>
      <w:tblGrid>
        <w:gridCol w:w="38"/>
        <w:gridCol w:w="82"/>
        <w:gridCol w:w="10085"/>
      </w:tblGrid>
      <w:tr>
        <w:trPr/>
        <w:tc>
          <w:tcPr>
            <w:tcW w:w="38" w:type="dxa"/>
            <w:tcBorders/>
            <w:vAlign w:val="center"/>
          </w:tcPr>
          <w:p>
            <w:pPr>
              <w:pStyle w:val="TableContents"/>
              <w:bidi w:val="0"/>
              <w:spacing w:before="0" w:after="283"/>
              <w:jc w:val="left"/>
              <w:rPr/>
            </w:pPr>
            <w:r>
              <w:rPr/>
            </w:r>
          </w:p>
        </w:tc>
        <w:tc>
          <w:tcPr>
            <w:tcW w:w="8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w:t>
            </w:r>
          </w:p>
        </w:tc>
        <w:tc>
          <w:tcPr>
            <w:tcW w:w="1008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u w:val="single"/>
              </w:rPr>
              <w:t>Principal Market Regulation</w:t>
            </w:r>
            <w:r>
              <w:rPr>
                <w:rFonts w:ascii="Times New Roman;Times;serif" w:hAnsi="Times New Roman;Times;serif"/>
                <w:sz w:val="20"/>
              </w:rPr>
              <w:t>. The Company shall not issue any Ordinary Shares upon exercise of this Warrant or otherwise pursuant to the terms of this Warrant, or upon conversion of the Notes held by the Holder, if the issuance of such Ordinary Shares would exceed the aggregate number of Ordinary Shares which the Company may issue upon conversion of all Warrants or otherwise pursuant to the terms of all Warrants (as the case may be), or upon exercise of all Notes, in each case, issued pursuant to the Purchase Agreement, without breaching the Company’s obligations under the rules or regulations of the Nasdaq Capital Market (the “</w:t>
            </w:r>
            <w:r>
              <w:rPr>
                <w:rFonts w:ascii="Times New Roman;Times;serif" w:hAnsi="Times New Roman;Times;serif"/>
                <w:sz w:val="20"/>
                <w:u w:val="single"/>
              </w:rPr>
              <w:t>Principal Market</w:t>
            </w:r>
            <w:r>
              <w:rPr>
                <w:rFonts w:ascii="Times New Roman;Times;serif" w:hAnsi="Times New Roman;Times;serif"/>
                <w:sz w:val="20"/>
              </w:rPr>
              <w:t>”) (the number of Ordinary Shares which may be issued without violating such rules and regulations, including rules related to the aggregation of offerings under NASDAQ Listing Rule 5635(d), the “</w:t>
            </w:r>
            <w:r>
              <w:rPr>
                <w:rFonts w:ascii="Times New Roman;Times;serif" w:hAnsi="Times New Roman;Times;serif"/>
                <w:sz w:val="20"/>
                <w:u w:val="single"/>
              </w:rPr>
              <w:t>Exchange Ca</w:t>
            </w:r>
            <w:r>
              <w:rPr>
                <w:rFonts w:ascii="Times New Roman;Times;serif" w:hAnsi="Times New Roman;Times;serif"/>
                <w:sz w:val="20"/>
              </w:rPr>
              <w:t>p”), except that such limitation shall not apply in the event that the Company (A) obtains Shareholder Approval or (B) obtains a written opinion from counsel to the Company that such approval is not required, which opinion shall be reasonably satisfactory to the Holder. Until such approval or such written opinion is obtained, no Purchaser shall be issued in the aggregate, upon conversion or exercise (as the case may be) of any Notes or otherwise pursuant to the terms of the Notes, or of any Warrants or otherwise pursuant to the terms of the Warrants, Ordinary Shares in an amount greater than the product of (i) the Exchange Cap as of the date of the Purchase Agreement multiplied by (ii) the quotient of (1) the original principal amount of Notes issued to such Purchaser pursuant to the Purchase Agreement on the Closing Date (as defined in the Purchase Agreement) divided by (2) the aggregate original principal amount of all Notes issued to the Purchaser pursuant to the Purchase Agreement on the Date (with respect to each Purchaser, the “</w:t>
            </w:r>
            <w:r>
              <w:rPr>
                <w:rFonts w:ascii="Times New Roman;Times;serif" w:hAnsi="Times New Roman;Times;serif"/>
                <w:sz w:val="20"/>
                <w:u w:val="single"/>
              </w:rPr>
              <w:t>Exchange Cap Allocation</w:t>
            </w:r>
            <w:r>
              <w:rPr>
                <w:rFonts w:ascii="Times New Roman;Times;serif" w:hAnsi="Times New Roman;Times;serif"/>
                <w:sz w:val="20"/>
              </w:rPr>
              <w:t>”). In the event that any Purchaser shall sell or otherwise transfer any of such Purchaser’s Warrants, the transferee shall be allocated a pro rata portion of such Purchaser’s Exchange Cap Allocation with respect to such portion of such Warrants so transferred, and the restrictions of the prior sentence shall apply to such transferee with respect to the portion of the Exchange Cap Allocation so allocated to such transferee. Upon exercise in full of a holder’s Warrants, the difference (if any) between such holder’s Exchange Cap Allocation and the number of Ordinary Shares actually issued to such holder upon such holder’s exercise in full of such Warrants shall be allocated, to the respective Exchange Cap Allocations of the remaining holders of Warrants on a pro rata basis in proportion to the Ordinary Shares underlying the Warrants then held by each such holder of Warrants.</w:t>
            </w:r>
          </w:p>
        </w:tc>
      </w:tr>
    </w:tbl>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u w:val="single"/>
        </w:rPr>
        <w:t>Section 3</w:t>
      </w:r>
      <w:r>
        <w:rPr>
          <w:rFonts w:ascii="Times New Roman;Times;serif" w:hAnsi="Times New Roman;Times;serif"/>
          <w:color w:val="000000"/>
          <w:sz w:val="20"/>
        </w:rPr>
        <w:t>.          </w:t>
      </w:r>
      <w:r>
        <w:rPr>
          <w:rFonts w:ascii="Times New Roman;Times;serif" w:hAnsi="Times New Roman;Times;serif"/>
          <w:color w:val="000000"/>
          <w:sz w:val="20"/>
          <w:u w:val="single"/>
        </w:rPr>
        <w:t>Certain Adjustments</w:t>
      </w:r>
      <w:r>
        <w:rPr>
          <w:rFonts w:ascii="Times New Roman;Times;serif" w:hAnsi="Times New Roman;Times;serif"/>
          <w:color w:val="000000"/>
          <w:sz w:val="20"/>
        </w:rPr>
        <w:t>.</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a)          </w:t>
      </w:r>
      <w:r>
        <w:rPr>
          <w:rFonts w:ascii="Times New Roman;Times;serif" w:hAnsi="Times New Roman;Times;serif"/>
          <w:color w:val="000000"/>
          <w:sz w:val="20"/>
          <w:u w:val="single"/>
        </w:rPr>
        <w:t>Share Dividends and Splits</w:t>
      </w:r>
      <w:r>
        <w:rPr>
          <w:rFonts w:ascii="Times New Roman;Times;serif" w:hAnsi="Times New Roman;Times;serif"/>
          <w:color w:val="000000"/>
          <w:sz w:val="20"/>
        </w:rPr>
        <w:t>.  If the Company, at any time while this Warrant is outstanding: (i) pays a share dividend or otherwise makes a distribution or distributions on its Ordinary Shares or any other equity or equity equivalent securities payable in Ordinary Shares (which, for avoidance of doubt, shall not include any Ordinary Shares issued by the Company upon exercise of this Warrant), (ii) subdivides outstanding Ordinary Shares into a larger number of shares, (iii) combines (including by way of reverse share split) outstanding Ordinary Shares into a smaller number of shares, or (iv) issues by reclassification of Ordinary Shares any shares of share capital of the Company, then in each case the Exercise Price shall be multiplied by a fraction of which the numerator shall be the number of Ordinary Shares (excluding treasury shares, if any) outstanding immediately before such event and of which the denominator shall be the number of Ordinary Shares outstanding immediately after such event, and the number of shares issuable upon exercise of this Warrant shall be proportionately adjusted such that the aggregate Exercise Price of this Warrant shall remain unchanged.  Any adjustment made pursuant to this Section 3(a) shall become effective immediately after the record date for the determination of shareholders entitled to receive such dividend or distribution and shall become effective immediately after the effective date in the case of a subdivision, combination or re</w:t>
        <w:noBreakHyphen/>
        <w:t>classification.</w:t>
      </w:r>
    </w:p>
    <w:p>
      <w:pPr>
        <w:pStyle w:val="TextBody"/>
        <w:bidi w:val="0"/>
        <w:spacing w:lineRule="auto" w:line="300"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C - 5</w:t>
      </w:r>
    </w:p>
    <w:p>
      <w:pPr>
        <w:pStyle w:val="HorizontalLine"/>
        <w:pBdr>
          <w:bottom w:val="single" w:sz="12" w:space="0" w:color="808080"/>
        </w:pBdr>
        <w:bidi w:val="0"/>
        <w:spacing w:lineRule="auto" w:line="300" w:before="200" w:after="200"/>
        <w:jc w:val="left"/>
        <w:rPr/>
      </w:pPr>
      <w:r>
        <w:rPr/>
      </w:r>
    </w:p>
    <w:p>
      <w:pPr>
        <w:pStyle w:val="TextBody"/>
        <w:bidi w:val="0"/>
        <w:spacing w:lineRule="auto" w:line="300"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b)          </w:t>
      </w:r>
      <w:r>
        <w:rPr>
          <w:rFonts w:ascii="Times New Roman;Times;serif" w:hAnsi="Times New Roman;Times;serif"/>
          <w:color w:val="000000"/>
          <w:sz w:val="20"/>
          <w:u w:val="single"/>
        </w:rPr>
        <w:t>Subsequent Rights Offerings</w:t>
      </w:r>
      <w:r>
        <w:rPr>
          <w:rFonts w:ascii="Times New Roman;Times;serif" w:hAnsi="Times New Roman;Times;serif"/>
          <w:color w:val="000000"/>
          <w:sz w:val="20"/>
        </w:rPr>
        <w:t>.  In addition to any adjustments pursuant to Section 3(a) above, if at any time the Company grants, issues or sells any Ordinary Share Equivalents or rights to purchase shares, warrants, securities or other property pro rata to the record holders of any class of Ordinary Shares (the “</w:t>
      </w:r>
      <w:r>
        <w:rPr>
          <w:rFonts w:ascii="Times New Roman;Times;serif" w:hAnsi="Times New Roman;Times;serif"/>
          <w:color w:val="000000"/>
          <w:sz w:val="20"/>
          <w:u w:val="single"/>
        </w:rPr>
        <w:t>Purchase Rights</w:t>
      </w:r>
      <w:r>
        <w:rPr>
          <w:rFonts w:ascii="Times New Roman;Times;serif" w:hAnsi="Times New Roman;Times;serif"/>
          <w:color w:val="000000"/>
          <w:sz w:val="20"/>
        </w:rPr>
        <w:t>”), then the Holder will be entitled to acquire, upon the terms applicable to such Purchase Rights, the aggregate Purchase Rights which the Holder could have acquired if the Holder had held the number of Ordinary Shares acquirable upon complete exercise of this Warrant (without regard to any limitations on exercise hereof, including without limitation, the Beneficial Ownership Limitation) immediately before the date on which a record is taken for the grant, issuance or sale of such Purchase Rights, or, if no such record is taken, the date as of which the record holders of Ordinary Shares are to be determined for the grant, issue or sale of such Purchase Rights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however</w:t>
      </w:r>
      <w:r>
        <w:rPr>
          <w:rFonts w:ascii="Times New Roman;Times;serif" w:hAnsi="Times New Roman;Times;serif"/>
          <w:color w:val="000000"/>
          <w:sz w:val="20"/>
        </w:rPr>
        <w:t>, that to the extent that the Holder’s right to participate in any such Purchase Right would result in the Holder exceeding the Beneficial Ownership Limitation, then the Holder shall not be entitled to participate in such Purchase Right to such extent (or beneficial ownership of such Ordinary Shares as a result of such Purchase Right to such extent) and such Purchase Right to such extent shall be held in abeyance for the Holder until such time, if ever, as its right thereto would not result in the Holder exceeding the Beneficial Ownership Limitation).</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c)          </w:t>
      </w:r>
      <w:r>
        <w:rPr>
          <w:rFonts w:ascii="Times New Roman;Times;serif" w:hAnsi="Times New Roman;Times;serif"/>
          <w:color w:val="000000"/>
          <w:sz w:val="20"/>
          <w:u w:val="single"/>
        </w:rPr>
        <w:t>Pro Rata Distributions</w:t>
      </w:r>
      <w:r>
        <w:rPr>
          <w:rFonts w:ascii="Times New Roman;Times;serif" w:hAnsi="Times New Roman;Times;serif"/>
          <w:color w:val="000000"/>
          <w:sz w:val="20"/>
        </w:rPr>
        <w:t>.  During such time as this Warrant is outstanding, if the Company shall declare or make any dividend or other distribution of its assets (or rights to acquire its assets) to holders of Ordinary Shares, by way of return of capital or otherwise (including, without limitation, any distribution of cash, shares, or other securities, property or options by way of a dividend, spin off, reclassification, corporate rearrangement, scheme of arrangement or other similar transaction) (a “</w:t>
      </w:r>
      <w:r>
        <w:rPr>
          <w:rFonts w:ascii="Times New Roman;Times;serif" w:hAnsi="Times New Roman;Times;serif"/>
          <w:color w:val="000000"/>
          <w:sz w:val="20"/>
          <w:u w:val="single"/>
        </w:rPr>
        <w:t>Distribution</w:t>
      </w:r>
      <w:r>
        <w:rPr>
          <w:rFonts w:ascii="Times New Roman;Times;serif" w:hAnsi="Times New Roman;Times;serif"/>
          <w:color w:val="000000"/>
          <w:sz w:val="20"/>
        </w:rPr>
        <w:t>”), at any time after the issuance of this Warrant, then, in each such case, the Holder shall be entitled to participate in such Distribution to the same extent that the Holder would have participated therein if the Holder had held the number of Ordinary Shares acquirable upon complete exercise of this Warrant (without regard to any limitations on exercise hereof, including without limitation, the Beneficial Ownership Limitation) immediately before the date of which a record is taken for such Distribution, or, if no such record is taken, the date as of which the record holders of Ordinary Shares are to be determined for the participation in such Distribution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however</w:t>
      </w:r>
      <w:r>
        <w:rPr>
          <w:rFonts w:ascii="Times New Roman;Times;serif" w:hAnsi="Times New Roman;Times;serif"/>
          <w:color w:val="000000"/>
          <w:sz w:val="20"/>
        </w:rPr>
        <w:t>, that to the extent that the Holder’s right to participate in any such Distribution would result in the Holder exceeding the Beneficial Ownership Limitation, then the Holder shall not be entitled to participate in such Distribution to such extent (or in the beneficial ownership of any Ordinary Shares as a result of such Distribution to such extent) and the portion of such Distribution shall be held in abeyance for the benefit of the Holder until such time, if ever, as its right thereto would not result in the Holder exceeding the Beneficial Ownership Limitation).</w:t>
      </w:r>
    </w:p>
    <w:p>
      <w:pPr>
        <w:pStyle w:val="TextBody"/>
        <w:bidi w:val="0"/>
        <w:spacing w:lineRule="auto" w:line="300"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C - 6</w:t>
      </w:r>
    </w:p>
    <w:p>
      <w:pPr>
        <w:pStyle w:val="HorizontalLine"/>
        <w:pBdr>
          <w:bottom w:val="single" w:sz="12" w:space="0" w:color="808080"/>
        </w:pBdr>
        <w:bidi w:val="0"/>
        <w:spacing w:lineRule="auto" w:line="300" w:before="200" w:after="200"/>
        <w:jc w:val="left"/>
        <w:rPr/>
      </w:pPr>
      <w:r>
        <w:rPr/>
      </w:r>
    </w:p>
    <w:p>
      <w:pPr>
        <w:pStyle w:val="TextBody"/>
        <w:bidi w:val="0"/>
        <w:spacing w:lineRule="auto" w:line="300"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d)          </w:t>
      </w:r>
      <w:r>
        <w:rPr>
          <w:rFonts w:ascii="Times New Roman;Times;serif" w:hAnsi="Times New Roman;Times;serif"/>
          <w:color w:val="000000"/>
          <w:sz w:val="20"/>
          <w:u w:val="single"/>
        </w:rPr>
        <w:t>Fundamental Transaction</w:t>
      </w:r>
      <w:r>
        <w:rPr>
          <w:rFonts w:ascii="Times New Roman;Times;serif" w:hAnsi="Times New Roman;Times;serif"/>
          <w:color w:val="000000"/>
          <w:sz w:val="20"/>
        </w:rPr>
        <w:t>. If, at any time while this Warrant is outstanding, (i) the Company, directly or indirectly, in one or more related transactions effects any merger or consolidation of the Company with or into another Person, (ii) the Company (or any Subsidiary), directly or indirectly, effects any sale, lease, license, assignment, transfer, conveyance or other disposition of all or substantially all of the Company’s assets in one or a series of related transactions, (iii) any, direct or indirect, purchase offer, tender offer or exchange offer (whether by the Company or another Person) is completed pursuant to which holders of Ordinary Shares are permitted to sell, tender or exchange their shares for other securities, cash or property and has been accepted by the holders of more than 50% of the outstanding Ordinary Shares or more than 50% of the voting power of the common equity of the Company, (iv) the Company, directly or indirectly, in one or more related transactions effects any reclassification, reorganization or recapitalization of the Ordinary Shares or any compulsory share exchange pursuant to which the Ordinary Shares are effectively converted into or exchanged for other securities, cash or property, or (v) the Company, directly or indirectly, in one or more related transactions consummates a share purchase agreement or other business combination (including, without limitation, a reorganization, recapitalization, spin-off, merger or scheme of arrangement) with another Person or group of Persons whereby such other Person or group acquires more than 50% of the outstanding Ordinary Shares or more than 50% of the voting power of the common equity of the Company (each a “</w:t>
      </w:r>
      <w:r>
        <w:rPr>
          <w:rFonts w:ascii="Times New Roman;Times;serif" w:hAnsi="Times New Roman;Times;serif"/>
          <w:color w:val="000000"/>
          <w:sz w:val="20"/>
          <w:u w:val="single"/>
        </w:rPr>
        <w:t>Fundamental Transaction</w:t>
      </w:r>
      <w:r>
        <w:rPr>
          <w:rFonts w:ascii="Times New Roman;Times;serif" w:hAnsi="Times New Roman;Times;serif"/>
          <w:color w:val="000000"/>
          <w:sz w:val="20"/>
        </w:rPr>
        <w:t>”), then, upon any subsequent exercise of this Warrant, the Holder shall have the right to receive, for each Warrant Share that would have been issuable upon such exercise immediately prior to the occurrence of such Fundamental Transaction, at the option of the Holder (without regard to any limitation in Section 2(e) on the exercise of this Warrant), the number of Ordinary Shares of the successor or acquiring corporation or of the Company, if it is the surviving corporation, and any additional consideration (the “</w:t>
      </w:r>
      <w:r>
        <w:rPr>
          <w:rFonts w:ascii="Times New Roman;Times;serif" w:hAnsi="Times New Roman;Times;serif"/>
          <w:color w:val="000000"/>
          <w:sz w:val="20"/>
          <w:u w:val="single"/>
        </w:rPr>
        <w:t>Alternate Consideration</w:t>
      </w:r>
      <w:r>
        <w:rPr>
          <w:rFonts w:ascii="Times New Roman;Times;serif" w:hAnsi="Times New Roman;Times;serif"/>
          <w:color w:val="000000"/>
          <w:sz w:val="20"/>
        </w:rPr>
        <w:t xml:space="preserve">”) receivable as a result of such Fundamental Transaction by a holder of the number of Ordinary Shares for which this Warrant is exercisable immediately prior to such Fundamental Transaction (without regard to any limitation in Section 2(e) on the exercise of this Warrant).  For purposes of any such exercise, the determination of the Exercise Price shall be appropriately adjusted to apply to such Alternate Consideration based on the amount of Alternate Consideration issuable in respect of one Ordinary Share in such Fundamental Transaction, and the Company shall apportion the Exercise Price among the Alternate Consideration in a reasonable manner reflecting the relative value of any different components of the Alternate Consideration.  If holders of Ordinary Shares are given any choice as to the securities, cash or property to be received in a Fundamental Transaction, then the Holder shall be given the same choice as to the Alternate Consideration it receives upon any exercise of this Warrant following such Fundamental Transaction.  Notwithstanding anything to the contrary, in the event of a Fundamental Transaction, the Company or any Successor Entity (as defined below) shall, at the Holder’s option, exercisable at any time concurrently with, or within 30 days after, the consummation of the Fundamental Transaction (or, if later, the date of the public announcement of the applicable Fundamental Transaction), purchase this Warrant from the Holder by paying to the Holder an amount equal to the Black Scholes Value (as defined below) of the remaining unexercised portion of this Warrant on the date of the consummation of such Fundamental Transaction payable in either, at the option of the Company, cash, Ordinary Shares or the same type or form of consideration (and in the same proportion) that is being offered and paid to the holders of the Ordinary Shares of the Company in connection with the Fundamental Transaction, whether that consideration be in the form of cash, shares or any combination thereof, or whether the holders of the Ordinary Shares are given the choice to receive from among alternative forms of consideration in connection with the Fundamental Transaction;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further</w:t>
      </w:r>
      <w:r>
        <w:rPr>
          <w:rFonts w:ascii="Times New Roman;Times;serif" w:hAnsi="Times New Roman;Times;serif"/>
          <w:color w:val="000000"/>
          <w:sz w:val="20"/>
        </w:rPr>
        <w:t>, that if holders of Ordinary Shares of the Company are not offered or paid any consideration in such Fundamental Transaction, such holders of Ordinary Shares will be deemed to have received common stock of the Successor Entity (which Entity may be the Company following such Fundamental Transaction) in such Fundamental Transaction.  “</w:t>
      </w:r>
      <w:r>
        <w:rPr>
          <w:rFonts w:ascii="Times New Roman;Times;serif" w:hAnsi="Times New Roman;Times;serif"/>
          <w:color w:val="000000"/>
          <w:sz w:val="20"/>
          <w:u w:val="single"/>
        </w:rPr>
        <w:t>Black Scholes Value</w:t>
      </w:r>
      <w:r>
        <w:rPr>
          <w:rFonts w:ascii="Times New Roman;Times;serif" w:hAnsi="Times New Roman;Times;serif"/>
          <w:color w:val="000000"/>
          <w:sz w:val="20"/>
        </w:rPr>
        <w:t>” means the value of this Warrant based on the Black-Scholes Option Pricing Model obtained from the “OV” function on Bloomberg determined as of the day of consummation of the applicable Fundamental Transaction for pricing purposes and reflecting (A) a risk-free interest rate corresponding to the U.S. Treasury rate for a period equal to the time between the date of the public announcement of the applicable contemplated Fundamental Transaction and the Termination Date, (B) an expected volatility equal to the greater of (1) the 100 day volatility or (2) the volatility of 100%, each of clauses (1)-(2) as obtained from the HVT function on Bloomberg (determined utilizing a 365 day annualization factor) as of the Trading Day immediately following the public announcement of the applicable contemplated Fundamental Transaction, (C) the underlying price per share used in such calculation shall be the highest VWAP during the period beginning on the Trading Day immediately preceding the public announcement of the applicable contemplated Fundamental Transaction (or the consummation of the applicable Fundamental Transaction, if earlier) and ending on the Trading Day of the Holder’s request pursuant to this Section 3(d), (D) a remaining option time equal to the time between the date of the public announcement of the applicable contemplated Fundamental Transaction and the Termination Date and (E) a zero cost of borrow.  The payment of the Black Scholes Value will be made by wire transfer of immediately available funds (or such other consideration) within the later of (i) five Business Days of the Holder’s election and (ii) the date of consummation of the Fundamental Transaction.  The Company shall cause any successor entity in a Fundamental Transaction in which the Company is not the survivor (the “</w:t>
      </w:r>
      <w:r>
        <w:rPr>
          <w:rFonts w:ascii="Times New Roman;Times;serif" w:hAnsi="Times New Roman;Times;serif"/>
          <w:color w:val="000000"/>
          <w:sz w:val="20"/>
          <w:u w:val="single"/>
        </w:rPr>
        <w:t>Successor Entity</w:t>
      </w:r>
      <w:r>
        <w:rPr>
          <w:rFonts w:ascii="Times New Roman;Times;serif" w:hAnsi="Times New Roman;Times;serif"/>
          <w:color w:val="000000"/>
          <w:sz w:val="20"/>
        </w:rPr>
        <w:t>”) to assume in writing all of the obligations of the Company under this Warrant and the other Transaction Documents in accordance with the provisions of this Section 3(d) pursuant to written agreements in form and substance reasonably satisfactory to the Holder and approved by the Holder (without unreasonable delay) prior to such Fundamental Transaction and shall, at the option of the Holder, deliver to the Holder in exchange for this Warrant a security of the Successor Entity evidenced by a written instrument substantially similar in form and substance to this Warrant which is exercisable for a corresponding number of share capital of such Successor Entity (or its parent entity) equivalent to the Ordinary Shares acquirable and receivable upon exercise of this Warrant (without regard to any limitations on the exercise of this Warrant) prior to such Fundamental Transaction, and with an exercise price which applies the exercise price hereunder to such share capital (but taking into account the relative value of the Ordinary Shares pursuant to such Fundamental Transaction and the value of such share capital, such number of share capital and such exercise price being for the purpose of protecting the economic value of this Warrant immediately prior to the consummation of such Fundamental Transaction), and which is reasonably satisfactory in form and substance to the Holder.  Upon the occurrence of any such Fundamental Transaction, the Successor Entity shall be added to the term “Company” under this Warrant (so that from and after the occurrence or consummation of such Fundamental Transaction, each and every provision of this Warrant and the other Transaction Documents referring to the “Company” shall refer instead to each of the Company and the Successor Entity or Successor Entities, jointly and severally), and the Successor Entity or Successor Entities, jointly and severally with the Company, may exercise every right and power of the Company prior thereto and the Successor Entity or Successor Entities shall assume all of the obligations of the Company prior thereto under this Warrant and the other Transaction Documents with the same effect as if the Company and such Successor Entity or Successor Entities, jointly and severally, had been named as the Company herein.  For the avoidance of doubt, the Holder shall be entitled to the benefits of the provisions of this Section 3(d) regardless of (i) whether the Company has sufficient authorized Ordinary Shares for the issuance of Warrant Shares and/or (ii) whether a Fundamental Transaction occurs prior to the Initial Exercise Date. Notwithstanding anything to the contrary herein, the Company and Holder acknowledge and agree that the transactions contemplated by that certain Purchase Agreement (the “</w:t>
      </w:r>
      <w:r>
        <w:rPr>
          <w:rFonts w:ascii="Times New Roman;Times;serif" w:hAnsi="Times New Roman;Times;serif"/>
          <w:color w:val="000000"/>
          <w:sz w:val="20"/>
          <w:u w:val="single"/>
        </w:rPr>
        <w:t>Oratech Purchase Agreement</w:t>
      </w:r>
      <w:r>
        <w:rPr>
          <w:rFonts w:ascii="Times New Roman;Times;serif" w:hAnsi="Times New Roman;Times;serif"/>
          <w:color w:val="000000"/>
          <w:sz w:val="20"/>
        </w:rPr>
        <w:t>”), dated as of January 12, 2026, by and among the Company, Oratech Pharma, Inc. and Oramed Pharmaceuticals, Inc. (the “</w:t>
      </w:r>
      <w:r>
        <w:rPr>
          <w:rFonts w:ascii="Times New Roman;Times;serif" w:hAnsi="Times New Roman;Times;serif"/>
          <w:color w:val="000000"/>
          <w:sz w:val="20"/>
          <w:u w:val="single"/>
        </w:rPr>
        <w:t>Current Transaction</w:t>
      </w:r>
      <w:r>
        <w:rPr>
          <w:rFonts w:ascii="Times New Roman;Times;serif" w:hAnsi="Times New Roman;Times;serif"/>
          <w:color w:val="000000"/>
          <w:sz w:val="20"/>
        </w:rPr>
        <w:t>”) and related transaction documentation, including the execution of the Oratech Purchase Agreement and documentation related thereto, shall not constitute, and shall not be deemed to constitute, a Fundamental Transaction for any purpose under this Warrant, and no rights, remedies, or obligations that would otherwise arise upon the occurrence of a Fundamental Transaction shall be triggered by or in connection with the consummation of the Current Transaction.  Additionally, notwithstanding anything to the contrary herein, no transaction, action, election, or arrangement initiated, proposed, directed, or otherwise caused by, or at the direction of, the Majority Holders shall constitute, or be deemed to constitute, a Fundamental Transaction, and no Fundamental Transaction shall be deemed to have occurred solely as a result of any voluntary act or omission of the Majority Holders. For the avoidance of doubt, a Fundamental Transaction shall only be deemed to occur upon the consummation of a transaction undertaken by the Company or a third party independent of the Majority  Holders, and not as a result of any designation, characterization, or contractual right exercised by the Majority Holders.</w:t>
      </w:r>
    </w:p>
    <w:p>
      <w:pPr>
        <w:pStyle w:val="TextBody"/>
        <w:bidi w:val="0"/>
        <w:spacing w:lineRule="auto" w:line="300"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C - 7</w:t>
      </w:r>
    </w:p>
    <w:p>
      <w:pPr>
        <w:pStyle w:val="HorizontalLine"/>
        <w:pBdr>
          <w:bottom w:val="single" w:sz="12" w:space="0" w:color="808080"/>
        </w:pBdr>
        <w:bidi w:val="0"/>
        <w:spacing w:lineRule="auto" w:line="300" w:before="200" w:after="200"/>
        <w:jc w:val="left"/>
        <w:rPr/>
      </w:pPr>
      <w:r>
        <w:rPr/>
      </w:r>
    </w:p>
    <w:p>
      <w:pPr>
        <w:pStyle w:val="TextBody"/>
        <w:bidi w:val="0"/>
        <w:spacing w:lineRule="auto" w:line="300"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e)          </w:t>
      </w:r>
      <w:r>
        <w:rPr>
          <w:rFonts w:ascii="Times New Roman;Times;serif" w:hAnsi="Times New Roman;Times;serif"/>
          <w:color w:val="000000"/>
          <w:sz w:val="20"/>
          <w:u w:val="single"/>
        </w:rPr>
        <w:t>Calculations</w:t>
      </w:r>
      <w:r>
        <w:rPr>
          <w:rFonts w:ascii="Times New Roman;Times;serif" w:hAnsi="Times New Roman;Times;serif"/>
          <w:color w:val="000000"/>
          <w:sz w:val="20"/>
        </w:rPr>
        <w:t>.  All calculations under this Section 3 shall be made to the nearest cent or the nearest 1/100th of a share, as the case may be.  For purposes of this Section 3, the number of Ordinary Shares deemed to be issued and outstanding as of a given date shall be the sum of the number of Ordinary Shares (excluding treasury shares, if any) issued and outstanding.</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f)          </w:t>
      </w:r>
      <w:r>
        <w:rPr>
          <w:rFonts w:ascii="Times New Roman;Times;serif" w:hAnsi="Times New Roman;Times;serif"/>
          <w:color w:val="000000"/>
          <w:sz w:val="20"/>
          <w:u w:val="single"/>
        </w:rPr>
        <w:t>Notice to Holder</w:t>
      </w:r>
      <w:r>
        <w:rPr>
          <w:rFonts w:ascii="Times New Roman;Times;serif" w:hAnsi="Times New Roman;Times;serif"/>
          <w:color w:val="000000"/>
          <w:sz w:val="20"/>
        </w:rPr>
        <w:t>.</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2160" w:right="0" w:firstLine="720"/>
        <w:jc w:val="both"/>
        <w:rPr>
          <w:rFonts w:ascii="Times New Roman;Times;serif" w:hAnsi="Times New Roman;Times;serif"/>
          <w:color w:val="000000"/>
          <w:sz w:val="20"/>
        </w:rPr>
      </w:pPr>
      <w:r>
        <w:rPr>
          <w:rFonts w:ascii="Times New Roman;Times;serif" w:hAnsi="Times New Roman;Times;serif"/>
          <w:color w:val="000000"/>
          <w:sz w:val="20"/>
        </w:rPr>
        <w:t>i.          </w:t>
      </w:r>
      <w:r>
        <w:rPr>
          <w:rFonts w:ascii="Times New Roman;Times;serif" w:hAnsi="Times New Roman;Times;serif"/>
          <w:color w:val="000000"/>
          <w:sz w:val="20"/>
          <w:u w:val="single"/>
        </w:rPr>
        <w:t>Adjustment to Exercise Price</w:t>
      </w:r>
      <w:r>
        <w:rPr>
          <w:rFonts w:ascii="Times New Roman;Times;serif" w:hAnsi="Times New Roman;Times;serif"/>
          <w:color w:val="000000"/>
          <w:sz w:val="20"/>
        </w:rPr>
        <w:t>.  Whenever the Exercise Price is adjusted pursuant to any provision of this Section 3, the Company shall promptly deliver to the Holder by email a notice setting forth the Exercise Price after such adjustment and any resulting adjustment to the number of Warrant Shares and setting forth a brief statement of the facts requiring such adjustment.</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2160" w:right="0" w:firstLine="720"/>
        <w:jc w:val="both"/>
        <w:rPr>
          <w:rFonts w:ascii="Times New Roman;Times;serif" w:hAnsi="Times New Roman;Times;serif"/>
          <w:color w:val="000000"/>
          <w:sz w:val="20"/>
        </w:rPr>
      </w:pPr>
      <w:r>
        <w:rPr>
          <w:rFonts w:ascii="Times New Roman;Times;serif" w:hAnsi="Times New Roman;Times;serif"/>
          <w:color w:val="000000"/>
          <w:sz w:val="20"/>
        </w:rPr>
        <w:t>ii.          </w:t>
      </w:r>
      <w:r>
        <w:rPr>
          <w:rFonts w:ascii="Times New Roman;Times;serif" w:hAnsi="Times New Roman;Times;serif"/>
          <w:color w:val="000000"/>
          <w:sz w:val="20"/>
          <w:u w:val="single"/>
        </w:rPr>
        <w:t>Notice to Allow Exercise by Holder</w:t>
      </w:r>
      <w:r>
        <w:rPr>
          <w:rFonts w:ascii="Times New Roman;Times;serif" w:hAnsi="Times New Roman;Times;serif"/>
          <w:color w:val="000000"/>
          <w:sz w:val="20"/>
        </w:rPr>
        <w:t>.  If (A) the Company shall declare a dividend (or any other distribution in whatever form) on the Ordinary Shares, (B) the Company shall declare a special nonrecurring cash dividend on or a redemption of the Ordinary Shares, (C) the Company shall authorize the granting to all holders of the Ordinary Shares rights or warrants to subscribe for or purchase any share capital of any class or of any rights, (D) the approval of any shareholders of the Company shall be required in connection with any reclassification of the Ordinary Shares, any consolidation or merger to which the Company (or any of its Subsidiaries) is a party, any sale or transfer of all or substantially all of its assets, or any compulsory share exchange whereby the Ordinary Shares are converted into other securities, cash or property, or (E) the Company shall authorize the voluntary or involuntary dissolution, liquidation or winding up of the affairs of the Company, then, in each case, the Company shall cause to be delivered by email to the Holder at its last email address as it shall appear upon the Warrant Register of the Company, at least 20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Ordinary Shares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Ordinary Shares of record shall be entitled to exchange their Ordinary Shares for securities, cash or other property deliverable upon such reclassification, consolidation, merger, sale, transfer or share exchange; provided that the failure to deliver such notice or any defect therein or in the delivery thereof shall not affect the validity of the corporate action required to be specified in such notice.  To the extent that any notice provided in this Warrant constitutes, or contains, material, non-public information regarding the Company or any of the Subsidiaries, the Company shall simultaneously file such notice with the Commission pursuant to a Current Report on Form 8-K.  The Holder shall remain entitled to exercise this Warrant during the period commencing on the date of such notice to the effective date of the event triggering such notice except as may otherwise be expressly set forth herein.</w:t>
      </w:r>
    </w:p>
    <w:p>
      <w:pPr>
        <w:pStyle w:val="TextBody"/>
        <w:bidi w:val="0"/>
        <w:spacing w:lineRule="auto" w:line="300"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C - 8</w:t>
      </w:r>
    </w:p>
    <w:p>
      <w:pPr>
        <w:pStyle w:val="HorizontalLine"/>
        <w:pBdr>
          <w:bottom w:val="single" w:sz="12" w:space="0" w:color="808080"/>
        </w:pBdr>
        <w:bidi w:val="0"/>
        <w:spacing w:lineRule="auto" w:line="300" w:before="200" w:after="200"/>
        <w:jc w:val="left"/>
        <w:rPr/>
      </w:pPr>
      <w:r>
        <w:rPr/>
      </w:r>
    </w:p>
    <w:p>
      <w:pPr>
        <w:pStyle w:val="TextBody"/>
        <w:bidi w:val="0"/>
        <w:spacing w:lineRule="auto" w:line="300"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g)          </w:t>
      </w:r>
      <w:r>
        <w:rPr>
          <w:rFonts w:ascii="Times New Roman;Times;serif" w:hAnsi="Times New Roman;Times;serif"/>
          <w:color w:val="000000"/>
          <w:sz w:val="20"/>
          <w:u w:val="single"/>
        </w:rPr>
        <w:t>Voluntary Adjustment By Company</w:t>
      </w:r>
      <w:r>
        <w:rPr>
          <w:rFonts w:ascii="Times New Roman;Times;serif" w:hAnsi="Times New Roman;Times;serif"/>
          <w:color w:val="000000"/>
          <w:sz w:val="20"/>
        </w:rPr>
        <w:t>.  Subject to the rules and regulations of the Trading Market, the Company may at any time after June 26, 2026 through the term of this Warrant reduce the then current Exercise Price to any amount and for any period of time deemed appropriate by the board of directors of the Company.</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u w:val="single"/>
        </w:rPr>
        <w:t>Section 4</w:t>
      </w:r>
      <w:r>
        <w:rPr>
          <w:rFonts w:ascii="Times New Roman;Times;serif" w:hAnsi="Times New Roman;Times;serif"/>
          <w:color w:val="000000"/>
          <w:sz w:val="20"/>
        </w:rPr>
        <w:t>.          </w:t>
      </w:r>
      <w:r>
        <w:rPr>
          <w:rFonts w:ascii="Times New Roman;Times;serif" w:hAnsi="Times New Roman;Times;serif"/>
          <w:color w:val="000000"/>
          <w:sz w:val="20"/>
          <w:u w:val="single"/>
        </w:rPr>
        <w:t>Transfer of Warrant</w:t>
      </w:r>
      <w:r>
        <w:rPr>
          <w:rFonts w:ascii="Times New Roman;Times;serif" w:hAnsi="Times New Roman;Times;serif"/>
          <w:color w:val="000000"/>
          <w:sz w:val="20"/>
        </w:rPr>
        <w:t>.</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a)          </w:t>
      </w:r>
      <w:r>
        <w:rPr>
          <w:rFonts w:ascii="Times New Roman;Times;serif" w:hAnsi="Times New Roman;Times;serif"/>
          <w:color w:val="000000"/>
          <w:sz w:val="20"/>
          <w:u w:val="single"/>
        </w:rPr>
        <w:t>Transferability</w:t>
      </w:r>
      <w:r>
        <w:rPr>
          <w:rFonts w:ascii="Times New Roman;Times;serif" w:hAnsi="Times New Roman;Times;serif"/>
          <w:color w:val="000000"/>
          <w:sz w:val="20"/>
        </w:rPr>
        <w:t>.  Subject to compliance with any applicable securities laws and the conditions set forth in Section 4(d) hereof and to the provisions of Section 4.1 of the Purchase Agreement, this Warrant and all rights hereunder (including, without limitation, any registration rights) are transferable, in whole or in part, upon surrender of this Warrant at the principal office of the Company or its designated agent, together with a written assignment of this Warrant substantially in the form attached hereto duly executed by the Holder or its agent or attorney and funds sufficient to pay any transfer taxes payable upon the making of such transfer.  Upon such surrender and, if required, such payment, the Company shall execute and deliver a new Warrant or Warrants in the name of the assignee or assignees, as applicable, and in the denomination or denominations specified in such instrument of assignment, and shall issue to the assignor a new Warrant evidencing the portion of this Warrant not so assigned, and this Warrant shall promptly be cancelled.  Notwithstanding anything herein to the contrary, the Holder shall not be required to physically surrender this Warrant to the Company unless the Holder has assigned this Warrant in full, in which case, the Holder shall surrender this Warrant to the Company within three (3) Trading Days of the date on which the Holder delivers an assignment form to the Company assigning this Warrant in full.  The Warrant, if properly assigned in accordance herewith, may be exercised by a new holder for the purchase of Warrant Shares without having a new Warrant issued.</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b)          </w:t>
      </w:r>
      <w:r>
        <w:rPr>
          <w:rFonts w:ascii="Times New Roman;Times;serif" w:hAnsi="Times New Roman;Times;serif"/>
          <w:color w:val="000000"/>
          <w:sz w:val="20"/>
          <w:u w:val="single"/>
        </w:rPr>
        <w:t>New Warrants</w:t>
      </w:r>
      <w:r>
        <w:rPr>
          <w:rFonts w:ascii="Times New Roman;Times;serif" w:hAnsi="Times New Roman;Times;serif"/>
          <w:color w:val="000000"/>
          <w:sz w:val="20"/>
        </w:rPr>
        <w:t>.  This Warrant may be divided or combined with other Warrants upon presentation hereof at the aforesaid office of the Company, together with a written notice specifying the names and denominations in which new Warrants are to be issued, signed by the Holder or its agent or attorney.  Subject to compliance with Section 4(a), as to any transfer which may be involved in such division or combination, the Company shall execute and deliver a new Warrant or Warrants in exchange for the Warrant or Warrants to be divided or combined in accordance with such notice.  All Warrants issued on transfers or exchanges shall be dated the initial issuance date of this Warrant and shall be identical with this Warrant except as to the number of Warrant Shares issuable pursuant thereto.</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c)          </w:t>
      </w:r>
      <w:r>
        <w:rPr>
          <w:rFonts w:ascii="Times New Roman;Times;serif" w:hAnsi="Times New Roman;Times;serif"/>
          <w:color w:val="000000"/>
          <w:sz w:val="20"/>
          <w:u w:val="single"/>
        </w:rPr>
        <w:t>Warrant Register</w:t>
      </w:r>
      <w:r>
        <w:rPr>
          <w:rFonts w:ascii="Times New Roman;Times;serif" w:hAnsi="Times New Roman;Times;serif"/>
          <w:color w:val="000000"/>
          <w:sz w:val="20"/>
        </w:rPr>
        <w:t>.  The Company shall register this Warrant, upon records to be maintained by the Company for that purpose (the “</w:t>
      </w:r>
      <w:r>
        <w:rPr>
          <w:rFonts w:ascii="Times New Roman;Times;serif" w:hAnsi="Times New Roman;Times;serif"/>
          <w:color w:val="000000"/>
          <w:sz w:val="20"/>
          <w:u w:val="single"/>
        </w:rPr>
        <w:t>Warrant Register</w:t>
      </w:r>
      <w:r>
        <w:rPr>
          <w:rFonts w:ascii="Times New Roman;Times;serif" w:hAnsi="Times New Roman;Times;serif"/>
          <w:color w:val="000000"/>
          <w:sz w:val="20"/>
        </w:rPr>
        <w:t>”), in the name of the record Holder hereof from time to time.  The Company may deem and treat the registered Holder of this Warrant as the absolute owner hereof for the purpose of any exercise hereof or any distribution to the Holder, and for all other purposes, absent actual notice to the contrary.</w:t>
      </w:r>
    </w:p>
    <w:p>
      <w:pPr>
        <w:pStyle w:val="TextBody"/>
        <w:bidi w:val="0"/>
        <w:spacing w:lineRule="auto" w:line="300"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C - 9</w:t>
      </w:r>
    </w:p>
    <w:p>
      <w:pPr>
        <w:pStyle w:val="HorizontalLine"/>
        <w:pBdr>
          <w:bottom w:val="single" w:sz="12" w:space="0" w:color="808080"/>
        </w:pBdr>
        <w:bidi w:val="0"/>
        <w:spacing w:lineRule="auto" w:line="300" w:before="200" w:after="200"/>
        <w:jc w:val="left"/>
        <w:rPr/>
      </w:pPr>
      <w:r>
        <w:rPr/>
      </w:r>
    </w:p>
    <w:p>
      <w:pPr>
        <w:pStyle w:val="TextBody"/>
        <w:bidi w:val="0"/>
        <w:spacing w:lineRule="auto" w:line="300"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d)          </w:t>
      </w:r>
      <w:r>
        <w:rPr>
          <w:rFonts w:ascii="Times New Roman;Times;serif" w:hAnsi="Times New Roman;Times;serif"/>
          <w:color w:val="000000"/>
          <w:sz w:val="20"/>
          <w:u w:val="single"/>
        </w:rPr>
        <w:t>Transfer Restrictions</w:t>
      </w:r>
      <w:r>
        <w:rPr>
          <w:rFonts w:ascii="Times New Roman;Times;serif" w:hAnsi="Times New Roman;Times;serif"/>
          <w:color w:val="000000"/>
          <w:sz w:val="20"/>
        </w:rPr>
        <w:t>.  If, at the time of the surrender of this Warrant in connection with any transfer of this Warrant, the transfer of this Warrant shall not be either (i) registered pursuant to an effective registration statement under the Securities Act and under applicable state securities or blue sky laws or (ii) eligible for resale without volume or manner-of-sale restrictions or current public information requirements pursuant to Rule 144, the Company may require, as a condition of allowing such transfer, that the Holder or transferee of this Warrant, as the case may be, comply with the provisions of Section 5.7 of the Purchase Agreement.</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e)          </w:t>
      </w:r>
      <w:r>
        <w:rPr>
          <w:rFonts w:ascii="Times New Roman;Times;serif" w:hAnsi="Times New Roman;Times;serif"/>
          <w:color w:val="000000"/>
          <w:sz w:val="20"/>
          <w:u w:val="single"/>
        </w:rPr>
        <w:t>Representation by the Holder</w:t>
      </w:r>
      <w:r>
        <w:rPr>
          <w:rFonts w:ascii="Times New Roman;Times;serif" w:hAnsi="Times New Roman;Times;serif"/>
          <w:color w:val="000000"/>
          <w:sz w:val="20"/>
        </w:rPr>
        <w:t>.  The Holder, by the acceptance hereof, represents and warrants that it is acquiring this Warrant and, upon any exercise hereof, will acquire the Warrant Shares issuable upon such exercise, for its own account and not with a view to or for distributing or reselling such Warrant Shares or any part thereof in violation of the Securities Act or any applicable state securities law, except pursuant to sales registered or exempted under the Securities Act.</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u w:val="single"/>
        </w:rPr>
        <w:t>Section 5</w:t>
      </w:r>
      <w:r>
        <w:rPr>
          <w:rFonts w:ascii="Times New Roman;Times;serif" w:hAnsi="Times New Roman;Times;serif"/>
          <w:color w:val="000000"/>
          <w:sz w:val="20"/>
        </w:rPr>
        <w:t>.          </w:t>
      </w:r>
      <w:r>
        <w:rPr>
          <w:rFonts w:ascii="Times New Roman;Times;serif" w:hAnsi="Times New Roman;Times;serif"/>
          <w:color w:val="000000"/>
          <w:sz w:val="20"/>
          <w:u w:val="single"/>
        </w:rPr>
        <w:t>Miscellaneous</w:t>
      </w:r>
      <w:r>
        <w:rPr>
          <w:rFonts w:ascii="Times New Roman;Times;serif" w:hAnsi="Times New Roman;Times;serif"/>
          <w:color w:val="000000"/>
          <w:sz w:val="20"/>
        </w:rPr>
        <w:t>.</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a)          </w:t>
      </w:r>
      <w:r>
        <w:rPr>
          <w:rFonts w:ascii="Times New Roman;Times;serif" w:hAnsi="Times New Roman;Times;serif"/>
          <w:color w:val="000000"/>
          <w:sz w:val="20"/>
          <w:u w:val="single"/>
        </w:rPr>
        <w:t>No Rights as Shareholder Until Exercise; No Settlement in Cash</w:t>
      </w:r>
      <w:r>
        <w:rPr>
          <w:rFonts w:ascii="Times New Roman;Times;serif" w:hAnsi="Times New Roman;Times;serif"/>
          <w:color w:val="000000"/>
          <w:sz w:val="20"/>
        </w:rPr>
        <w:t>.  This Warrant does not entitle the Holder to any voting rights, dividends or other rights as a shareholder of the Company prior to the exercise hereof as set forth in Section 2(d)(i), except as expressly set forth in Section 3.  Without limiting any rights of a Holder to receive Warrant Shares on a “cashless exercise” pursuant to Section 2(c) or to receive cash payments pursuant to Section 2(d)(i) and Section 2(d)(iv) herein, in no event shall the Company be required to net cash settle an exercise of this Warrant.</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b)          </w:t>
      </w:r>
      <w:r>
        <w:rPr>
          <w:rFonts w:ascii="Times New Roman;Times;serif" w:hAnsi="Times New Roman;Times;serif"/>
          <w:color w:val="000000"/>
          <w:sz w:val="20"/>
          <w:u w:val="single"/>
        </w:rPr>
        <w:t>Loss, Theft, Destruction or Mutilation of Warrant</w:t>
      </w:r>
      <w:r>
        <w:rPr>
          <w:rFonts w:ascii="Times New Roman;Times;serif" w:hAnsi="Times New Roman;Times;serif"/>
          <w:color w:val="000000"/>
          <w:sz w:val="20"/>
        </w:rPr>
        <w:t>.  The Company covenants that upon receipt by the Company of evidence reasonably satisfactory to it of the loss, theft, destruction or mutilation of this Warrant or any share certificate relating to the Warrant Shares, and in case of loss, theft or destruction, of indemnity or security reasonably satisfactory to it (which, in the case of the Warrant, shall not include the posting of any bond), and upon surrender and cancellation of such Warrant or share certificate, if mutilated, the Company will make and deliver a new Warrant or share certificate of like tenor and dated as of such cancellation, in lieu of such Warrant or share certificate.</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c)          </w:t>
      </w:r>
      <w:r>
        <w:rPr>
          <w:rFonts w:ascii="Times New Roman;Times;serif" w:hAnsi="Times New Roman;Times;serif"/>
          <w:color w:val="000000"/>
          <w:sz w:val="20"/>
          <w:u w:val="single"/>
        </w:rPr>
        <w:t>Saturdays, Sundays, Holidays, etc</w:t>
      </w:r>
      <w:r>
        <w:rPr>
          <w:rFonts w:ascii="Times New Roman;Times;serif" w:hAnsi="Times New Roman;Times;serif"/>
          <w:color w:val="000000"/>
          <w:sz w:val="20"/>
        </w:rPr>
        <w:t>.  If the last or appointed day for the taking of any action or the expiration of any right required or granted herein shall not be a Trading Day, then such action may be taken or such right may be exercised on the next succeeding Trading Day.</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d)          </w:t>
      </w:r>
      <w:r>
        <w:rPr>
          <w:rFonts w:ascii="Times New Roman;Times;serif" w:hAnsi="Times New Roman;Times;serif"/>
          <w:color w:val="000000"/>
          <w:sz w:val="20"/>
          <w:u w:val="single"/>
        </w:rPr>
        <w:t>Authorized Shares</w:t>
      </w:r>
      <w:r>
        <w:rPr>
          <w:rFonts w:ascii="Times New Roman;Times;serif" w:hAnsi="Times New Roman;Times;serif"/>
          <w:color w:val="000000"/>
          <w:sz w:val="20"/>
        </w:rPr>
        <w:t>.</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1440" w:right="0" w:firstLine="1440"/>
        <w:jc w:val="both"/>
        <w:rPr>
          <w:rFonts w:ascii="Times New Roman;Times;serif" w:hAnsi="Times New Roman;Times;serif"/>
          <w:color w:val="000000"/>
          <w:sz w:val="20"/>
        </w:rPr>
      </w:pPr>
      <w:r>
        <w:rPr>
          <w:rFonts w:ascii="Times New Roman;Times;serif" w:hAnsi="Times New Roman;Times;serif"/>
          <w:color w:val="000000"/>
          <w:sz w:val="20"/>
        </w:rPr>
        <w:t>The Company covenants that, during the period the Warrant is outstanding, it will reserve from its authorized and unissued Ordinary Shares a sufficient number of shares to provide for the issuance of the Warrant Shares upon the exercise of any purchase rights under this Warrant.  The Company further covenants that its issuance of this Warrant shall constitute full authority to its officers who are charged with the duty of issuing the necessary Warrant Shares upon the exercise of the purchase rights under this Warrant.  The Company will take all such reasonable action as may be necessary to assure that such Warrant Shares may be issued as provided herein without violation of any applicable law or regulation, or of any requirements of the Trading Market upon which the Ordinary Shares may be listed.  The Company covenants that all Warrant Shares which may be issued upon the exercise of the purchase rights represented by this Warrant will, upon exercise of the purchase rights represented by this Warrant and payment for such Warrant Shares in accordance herewith, be duly authorized, validly issued, fully paid and nonassessable and free from all taxes, liens and charges created by the Company in respect of the issue thereof (other than taxes in respect of any transfer occurring contemporaneously with such issue).</w:t>
      </w:r>
    </w:p>
    <w:p>
      <w:pPr>
        <w:pStyle w:val="TextBody"/>
        <w:bidi w:val="0"/>
        <w:spacing w:lineRule="auto" w:line="300"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C - 10</w:t>
      </w:r>
    </w:p>
    <w:p>
      <w:pPr>
        <w:pStyle w:val="HorizontalLine"/>
        <w:pBdr>
          <w:bottom w:val="single" w:sz="12" w:space="0" w:color="808080"/>
        </w:pBdr>
        <w:bidi w:val="0"/>
        <w:spacing w:lineRule="auto" w:line="300" w:before="200" w:after="200"/>
        <w:jc w:val="left"/>
        <w:rPr/>
      </w:pPr>
      <w:r>
        <w:rPr/>
      </w:r>
    </w:p>
    <w:p>
      <w:pPr>
        <w:pStyle w:val="TextBody"/>
        <w:bidi w:val="0"/>
        <w:spacing w:lineRule="auto" w:line="300" w:before="0" w:after="0"/>
        <w:ind w:left="1440" w:right="0" w:firstLine="720"/>
        <w:jc w:val="both"/>
        <w:rPr>
          <w:rFonts w:ascii="Times New Roman;Times;serif" w:hAnsi="Times New Roman;Times;serif"/>
          <w:color w:val="000000"/>
          <w:sz w:val="20"/>
        </w:rPr>
      </w:pPr>
      <w:r>
        <w:rPr>
          <w:rFonts w:ascii="Times New Roman;Times;serif" w:hAnsi="Times New Roman;Times;serif"/>
          <w:color w:val="000000"/>
          <w:sz w:val="20"/>
        </w:rPr>
        <w:t>Except and to the extent as waived or consented to by the Holder, the Company shall not by any action, including, without limitation, amending its articles of association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(i) not increase the par value of any Warrant Shares above the amount payable therefor upon such exercise immediately prior to such increase in par value, (ii) take all such action as may be necessary or appropriate in order that the Company may validly and legally issue fully paid and nonassessable Warrant Shares upon the exercise of this Warrant and (iii) use commercially reasonable efforts to obtain all such authorizations, exemptions or consents from any public regulatory body having jurisdiction thereof, as may be, necessary to enable the Company to perform its obligations under this Warrant.</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1440" w:right="0" w:firstLine="720"/>
        <w:jc w:val="both"/>
        <w:rPr>
          <w:rFonts w:ascii="Times New Roman;Times;serif" w:hAnsi="Times New Roman;Times;serif"/>
          <w:color w:val="000000"/>
          <w:sz w:val="20"/>
        </w:rPr>
      </w:pPr>
      <w:r>
        <w:rPr>
          <w:rFonts w:ascii="Times New Roman;Times;serif" w:hAnsi="Times New Roman;Times;serif"/>
          <w:color w:val="000000"/>
          <w:sz w:val="20"/>
        </w:rPr>
        <w:t>Before taking any action which would result in an adjustment in the number of Warrant Shares for which this Warrant is exercisable or in the Exercise Price, the Company shall obtain all such authorizations or exemptions thereof, or consents thereto, as may be necessary from any public regulatory body or bodies having jurisdiction thereof.</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e)          </w:t>
      </w:r>
      <w:r>
        <w:rPr>
          <w:rFonts w:ascii="Times New Roman;Times;serif" w:hAnsi="Times New Roman;Times;serif"/>
          <w:color w:val="000000"/>
          <w:sz w:val="20"/>
          <w:u w:val="single"/>
        </w:rPr>
        <w:t>Jurisdiction</w:t>
      </w:r>
      <w:r>
        <w:rPr>
          <w:rFonts w:ascii="Times New Roman;Times;serif" w:hAnsi="Times New Roman;Times;serif"/>
          <w:color w:val="000000"/>
          <w:sz w:val="20"/>
        </w:rPr>
        <w:t>.  All questions concerning the construction, validity, enforcement and interpretation of this Warrant shall be determined in accordance with the provisions of the Purchase Agreement.</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f)          </w:t>
      </w:r>
      <w:r>
        <w:rPr>
          <w:rFonts w:ascii="Times New Roman;Times;serif" w:hAnsi="Times New Roman;Times;serif"/>
          <w:color w:val="000000"/>
          <w:sz w:val="20"/>
          <w:u w:val="single"/>
        </w:rPr>
        <w:t>Restrictions</w:t>
      </w:r>
      <w:r>
        <w:rPr>
          <w:rFonts w:ascii="Times New Roman;Times;serif" w:hAnsi="Times New Roman;Times;serif"/>
          <w:color w:val="000000"/>
          <w:sz w:val="20"/>
        </w:rPr>
        <w:t>.  The Holder acknowledges that the Warrant Shares acquired upon the exercise of this Warrant, if not registered, and the Holder does not utilize cashless exercise, will have restrictions upon resale imposed by state and federal securities laws.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g)          </w:t>
      </w:r>
      <w:r>
        <w:rPr>
          <w:rFonts w:ascii="Times New Roman;Times;serif" w:hAnsi="Times New Roman;Times;serif"/>
          <w:color w:val="000000"/>
          <w:sz w:val="20"/>
          <w:u w:val="single"/>
        </w:rPr>
        <w:t>Nonwaiver and Expenses</w:t>
      </w:r>
      <w:r>
        <w:rPr>
          <w:rFonts w:ascii="Times New Roman;Times;serif" w:hAnsi="Times New Roman;Times;serif"/>
          <w:color w:val="000000"/>
          <w:sz w:val="20"/>
        </w:rPr>
        <w:t>.  No course of dealing or any delay or failure to exercise any right hereunder on the part of Holder shall operate as a waiver of such right or otherwise prejudice the Holder’s rights, powers or remedies, notwithstanding the fact that the right to exercise this Warrant terminates on the Termination Date.  Without limiting any other provision of this Warrant or the Purchase Agreement, if the Company willfully and knowingly fails to comply with any provision of this Warrant, which results in any material damages to the Holder, the Company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 hereunder.</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h)          </w:t>
      </w:r>
      <w:r>
        <w:rPr>
          <w:rFonts w:ascii="Times New Roman;Times;serif" w:hAnsi="Times New Roman;Times;serif"/>
          <w:color w:val="000000"/>
          <w:sz w:val="20"/>
          <w:u w:val="single"/>
        </w:rPr>
        <w:t>Notices</w:t>
      </w:r>
      <w:r>
        <w:rPr>
          <w:rFonts w:ascii="Times New Roman;Times;serif" w:hAnsi="Times New Roman;Times;serif"/>
          <w:color w:val="000000"/>
          <w:sz w:val="20"/>
        </w:rPr>
        <w:t>.  Any notice, request or other document required or permitted to be given or delivered to the Holder by the Company shall be delivered in accordance with the notice provisions of the Purchase Agreement.</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i)          </w:t>
      </w:r>
      <w:r>
        <w:rPr>
          <w:rFonts w:ascii="Times New Roman;Times;serif" w:hAnsi="Times New Roman;Times;serif"/>
          <w:color w:val="000000"/>
          <w:sz w:val="20"/>
          <w:u w:val="single"/>
        </w:rPr>
        <w:t>Limitation of Liability</w:t>
      </w:r>
      <w:r>
        <w:rPr>
          <w:rFonts w:ascii="Times New Roman;Times;serif" w:hAnsi="Times New Roman;Times;serif"/>
          <w:color w:val="000000"/>
          <w:sz w:val="20"/>
        </w:rPr>
        <w:t>.  No provision hereof, in the absence of any affirmative action by the Holder to exercise this Warrant to purchase Warrant Shares, and no enumeration herein of the rights or privileges of the Holder, shall give rise to any liability of the Holder for the purchase price of any Ordinary Shares or as a shareholder of the Company, whether such liability is asserted by the Company or by creditors of the Company.</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j)          </w:t>
      </w:r>
      <w:r>
        <w:rPr>
          <w:rFonts w:ascii="Times New Roman;Times;serif" w:hAnsi="Times New Roman;Times;serif"/>
          <w:color w:val="000000"/>
          <w:sz w:val="20"/>
          <w:u w:val="single"/>
        </w:rPr>
        <w:t>Remedies</w:t>
      </w:r>
      <w:r>
        <w:rPr>
          <w:rFonts w:ascii="Times New Roman;Times;serif" w:hAnsi="Times New Roman;Times;serif"/>
          <w:color w:val="000000"/>
          <w:sz w:val="20"/>
        </w:rPr>
        <w:t>.  The Holder, in addition to being entitled to exercise all rights granted by law, including recovery of damages, will be entitled to specific performance of its rights under this Warrant.  The Company agrees that monetary damages would not be adequate compensation for any loss incurred by reason of a breach by it of the provisions of this Warrant and hereby agrees to waive and not to assert the defense in any action for specific performance that a remedy at law would be adequate.</w:t>
      </w:r>
    </w:p>
    <w:p>
      <w:pPr>
        <w:pStyle w:val="TextBody"/>
        <w:bidi w:val="0"/>
        <w:spacing w:lineRule="auto" w:line="300"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C - 11</w:t>
      </w:r>
    </w:p>
    <w:p>
      <w:pPr>
        <w:pStyle w:val="HorizontalLine"/>
        <w:pBdr>
          <w:bottom w:val="single" w:sz="12" w:space="0" w:color="808080"/>
        </w:pBdr>
        <w:bidi w:val="0"/>
        <w:spacing w:lineRule="auto" w:line="300" w:before="200" w:after="200"/>
        <w:jc w:val="left"/>
        <w:rPr/>
      </w:pPr>
      <w:r>
        <w:rPr/>
      </w:r>
    </w:p>
    <w:p>
      <w:pPr>
        <w:pStyle w:val="TextBody"/>
        <w:bidi w:val="0"/>
        <w:spacing w:lineRule="auto" w:line="300"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k)          </w:t>
      </w:r>
      <w:r>
        <w:rPr>
          <w:rFonts w:ascii="Times New Roman;Times;serif" w:hAnsi="Times New Roman;Times;serif"/>
          <w:color w:val="000000"/>
          <w:sz w:val="20"/>
          <w:u w:val="single"/>
        </w:rPr>
        <w:t>Successors and Assigns</w:t>
      </w:r>
      <w:r>
        <w:rPr>
          <w:rFonts w:ascii="Times New Roman;Times;serif" w:hAnsi="Times New Roman;Times;serif"/>
          <w:color w:val="000000"/>
          <w:sz w:val="20"/>
        </w:rPr>
        <w:t>.  Subject to applicable securities laws, this Warrant and the rights and obligations evidenced hereby shall inure to the benefit of and be binding upon the successors and permitted assigns of the Company and the successors and permitted assigns of Holder.  The provisions of this Warrant are intended to be for the benefit of any Holder from time to time of this Warrant and shall be enforceable by the Holder or holder of Warrant Shares.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l)          </w:t>
      </w:r>
      <w:r>
        <w:rPr>
          <w:rFonts w:ascii="Times New Roman;Times;serif" w:hAnsi="Times New Roman;Times;serif"/>
          <w:color w:val="000000"/>
          <w:sz w:val="20"/>
          <w:u w:val="single"/>
        </w:rPr>
        <w:t>Amendment</w:t>
      </w:r>
      <w:r>
        <w:rPr>
          <w:rFonts w:ascii="Times New Roman;Times;serif" w:hAnsi="Times New Roman;Times;serif"/>
          <w:color w:val="000000"/>
          <w:sz w:val="20"/>
        </w:rPr>
        <w:t>.  Other than Section 2(e) and this Section 5(l), which may not be modified, amended or waived, this Warrant may be modified or amended or the provisions hereof waived with the written consent of the Company, on the one hand, and the Holder of this Warrant, on the other hand.  Additionally, any waiver to any of the Warrants by the Majority Holders, or any amendment to the Warrants as agreed upon in writing by the Company and the Majority Holders, shall automatically apply to this Warrant.</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m)          </w:t>
      </w:r>
      <w:r>
        <w:rPr>
          <w:rFonts w:ascii="Times New Roman;Times;serif" w:hAnsi="Times New Roman;Times;serif"/>
          <w:color w:val="000000"/>
          <w:sz w:val="20"/>
          <w:u w:val="single"/>
        </w:rPr>
        <w:t>Severability</w:t>
      </w:r>
      <w:r>
        <w:rPr>
          <w:rFonts w:ascii="Times New Roman;Times;serif" w:hAnsi="Times New Roman;Times;serif"/>
          <w:color w:val="000000"/>
          <w:sz w:val="20"/>
        </w:rPr>
        <w:t>.  Wherever possible, each provision of this Warrant shall be interpreted in such manner as to be effective and valid under applicable law, but if any provision of this Warrant shall be prohibited by or invalid under applicable law, such provision shall be ineffective to the extent of such prohibition or invalidity, without invalidating the remainder of such provisions or the remaining provisions of this Warrant.</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n)          </w:t>
      </w:r>
      <w:r>
        <w:rPr>
          <w:rFonts w:ascii="Times New Roman;Times;serif" w:hAnsi="Times New Roman;Times;serif"/>
          <w:color w:val="000000"/>
          <w:sz w:val="20"/>
          <w:u w:val="single"/>
        </w:rPr>
        <w:t>Headings</w:t>
      </w:r>
      <w:r>
        <w:rPr>
          <w:rFonts w:ascii="Times New Roman;Times;serif" w:hAnsi="Times New Roman;Times;serif"/>
          <w:color w:val="000000"/>
          <w:sz w:val="20"/>
        </w:rPr>
        <w:t>.  The headings used in this Warrant are for the convenience of reference only and shall not, for any purpose, be deemed a part of this Warrant.</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center"/>
        <w:rPr>
          <w:rFonts w:ascii="Times New Roman;Times;serif" w:hAnsi="Times New Roman;Times;serif"/>
          <w:color w:val="000000"/>
          <w:sz w:val="20"/>
        </w:rPr>
      </w:pPr>
      <w:r>
        <w:rPr>
          <w:rFonts w:ascii="Times New Roman;Times;serif" w:hAnsi="Times New Roman;Times;serif"/>
          <w:color w:val="000000"/>
          <w:sz w:val="20"/>
        </w:rPr>
        <w:t>********************</w:t>
      </w:r>
    </w:p>
    <w:p>
      <w:pPr>
        <w:pStyle w:val="TextBody"/>
        <w:bidi w:val="0"/>
        <w:spacing w:lineRule="auto" w:line="300" w:before="0" w:after="0"/>
        <w:jc w:val="left"/>
        <w:rPr/>
      </w:pPr>
      <w:r>
        <w:rPr/>
      </w:r>
    </w:p>
    <w:p>
      <w:pPr>
        <w:pStyle w:val="TextBody"/>
        <w:bidi w:val="0"/>
        <w:spacing w:lineRule="auto" w:line="300" w:before="0" w:after="0"/>
        <w:jc w:val="center"/>
        <w:rPr>
          <w:rFonts w:ascii="Times New Roman;Times;serif" w:hAnsi="Times New Roman;Times;serif"/>
          <w:i/>
          <w:color w:val="000000"/>
          <w:sz w:val="20"/>
        </w:rPr>
      </w:pPr>
      <w:r>
        <w:rPr>
          <w:rFonts w:ascii="Times New Roman;Times;serif" w:hAnsi="Times New Roman;Times;serif"/>
          <w:i/>
          <w:color w:val="000000"/>
          <w:sz w:val="20"/>
        </w:rPr>
        <w:t>(Signature Page Follows)</w:t>
      </w:r>
    </w:p>
    <w:p>
      <w:pPr>
        <w:pStyle w:val="TextBody"/>
        <w:bidi w:val="0"/>
        <w:spacing w:lineRule="auto" w:line="300"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C - 12</w:t>
      </w:r>
    </w:p>
    <w:p>
      <w:pPr>
        <w:pStyle w:val="HorizontalLine"/>
        <w:pBdr>
          <w:bottom w:val="single" w:sz="12" w:space="0" w:color="808080"/>
        </w:pBdr>
        <w:bidi w:val="0"/>
        <w:spacing w:lineRule="auto" w:line="300" w:before="200" w:after="200"/>
        <w:jc w:val="left"/>
        <w:rPr/>
      </w:pPr>
      <w:r>
        <w:rPr/>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IN WITNESS WHEREOF, the Company has caused this Warrant to be executed by its officer thereunto duly authorized as of the date first above indicated.</w:t>
      </w:r>
    </w:p>
    <w:p>
      <w:pPr>
        <w:pStyle w:val="TextBody"/>
        <w:bidi w:val="0"/>
        <w:spacing w:lineRule="auto" w:line="300" w:before="0" w:after="0"/>
        <w:jc w:val="left"/>
        <w:rPr>
          <w:color w:val="000000"/>
        </w:rPr>
      </w:pPr>
      <w:r>
        <w:rPr>
          <w:color w:val="000000"/>
        </w:rPr>
        <w:t> </w:t>
      </w:r>
    </w:p>
    <w:p>
      <w:pPr>
        <w:pStyle w:val="Normal"/>
        <w:bidi w:val="0"/>
        <w:spacing w:lineRule="auto" w:line="300" w:before="0" w:after="0"/>
        <w:jc w:val="left"/>
        <w:rPr>
          <w:sz w:val="4"/>
          <w:szCs w:val="4"/>
        </w:rPr>
      </w:pPr>
      <w:r>
        <w:rPr>
          <w:sz w:val="4"/>
          <w:szCs w:val="4"/>
        </w:rPr>
      </w:r>
      <w:bookmarkStart w:id="252" w:name="zf8e1435fac9d4e1881349bba1794ff29"/>
      <w:bookmarkStart w:id="253" w:name="zf8e1435fac9d4e1881349bba1794ff29"/>
      <w:bookmarkEnd w:id="253"/>
    </w:p>
    <w:tbl>
      <w:tblPr>
        <w:tblW w:w="4835" w:type="dxa"/>
        <w:jc w:val="left"/>
        <w:tblInd w:w="0" w:type="dxa"/>
        <w:tblLayout w:type="fixed"/>
        <w:tblCellMar>
          <w:top w:w="0" w:type="dxa"/>
          <w:left w:w="0" w:type="dxa"/>
          <w:bottom w:w="0" w:type="dxa"/>
          <w:right w:w="0" w:type="dxa"/>
        </w:tblCellMar>
      </w:tblPr>
      <w:tblGrid>
        <w:gridCol w:w="60"/>
        <w:gridCol w:w="4775"/>
      </w:tblGrid>
      <w:tr>
        <w:trPr/>
        <w:tc>
          <w:tcPr>
            <w:tcW w:w="60" w:type="dxa"/>
            <w:tcBorders/>
            <w:vAlign w:val="center"/>
          </w:tcPr>
          <w:p>
            <w:pPr>
              <w:pStyle w:val="TableContents"/>
              <w:bidi w:val="0"/>
              <w:spacing w:before="0" w:after="283"/>
              <w:jc w:val="left"/>
              <w:rPr/>
            </w:pPr>
            <w:r>
              <w:rPr/>
              <w:t> </w:t>
            </w:r>
          </w:p>
        </w:tc>
        <w:tc>
          <w:tcPr>
            <w:tcW w:w="4775" w:type="dxa"/>
            <w:tcBorders/>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LIFEWARD LTD.</w:t>
            </w:r>
          </w:p>
        </w:tc>
      </w:tr>
      <w:tr>
        <w:trPr/>
        <w:tc>
          <w:tcPr>
            <w:tcW w:w="60" w:type="dxa"/>
            <w:tcBorders/>
            <w:vAlign w:val="center"/>
          </w:tcPr>
          <w:p>
            <w:pPr>
              <w:pStyle w:val="TableContents"/>
              <w:bidi w:val="0"/>
              <w:spacing w:before="0" w:after="283"/>
              <w:jc w:val="left"/>
              <w:rPr/>
            </w:pPr>
            <w:r>
              <w:rPr/>
              <w:t> </w:t>
            </w:r>
          </w:p>
        </w:tc>
        <w:tc>
          <w:tcPr>
            <w:tcW w:w="477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477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By: __________________________________________</w:t>
            </w:r>
          </w:p>
          <w:p>
            <w:pPr>
              <w:pStyle w:val="TableContents"/>
              <w:bidi w:val="0"/>
              <w:spacing w:lineRule="auto" w:line="300" w:before="0" w:after="0"/>
              <w:jc w:val="left"/>
              <w:rPr/>
            </w:pPr>
            <w:r>
              <w:rPr/>
              <w:t>     </w:t>
            </w:r>
            <w:r>
              <w:rPr>
                <w:rFonts w:ascii="Times New Roman;Times;serif" w:hAnsi="Times New Roman;Times;serif"/>
                <w:sz w:val="20"/>
              </w:rPr>
              <w:t>Name: William Mark Grant</w:t>
            </w:r>
          </w:p>
          <w:p>
            <w:pPr>
              <w:pStyle w:val="TableContents"/>
              <w:bidi w:val="0"/>
              <w:spacing w:lineRule="auto" w:line="300" w:before="0" w:after="0"/>
              <w:jc w:val="left"/>
              <w:rPr/>
            </w:pPr>
            <w:r>
              <w:rPr/>
              <w:t>     </w:t>
            </w:r>
            <w:r>
              <w:rPr>
                <w:rFonts w:ascii="Times New Roman;Times;serif" w:hAnsi="Times New Roman;Times;serif"/>
                <w:sz w:val="20"/>
              </w:rPr>
              <w:t>Title: President and Chief Executive Officer</w:t>
            </w:r>
          </w:p>
        </w:tc>
      </w:tr>
    </w:tbl>
    <w:p>
      <w:pPr>
        <w:pStyle w:val="TextBody"/>
        <w:bidi w:val="0"/>
        <w:spacing w:lineRule="auto" w:line="300" w:before="0" w:after="0"/>
        <w:jc w:val="left"/>
        <w:rPr/>
      </w:pPr>
      <w:r>
        <w:rPr/>
      </w:r>
    </w:p>
    <w:p>
      <w:pPr>
        <w:pStyle w:val="HorizontalLine"/>
        <w:pBdr>
          <w:bottom w:val="single" w:sz="12" w:space="0" w:color="808080"/>
        </w:pBdr>
        <w:bidi w:val="0"/>
        <w:spacing w:lineRule="auto" w:line="300" w:before="200" w:after="200"/>
        <w:jc w:val="left"/>
        <w:rPr/>
      </w:pPr>
      <w:r>
        <w:rPr/>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NOTICE OF EXERCISE</w:t>
      </w:r>
    </w:p>
    <w:p>
      <w:pPr>
        <w:pStyle w:val="TextBody"/>
        <w:bidi w:val="0"/>
        <w:spacing w:lineRule="auto" w:line="300" w:before="0" w:after="0"/>
        <w:jc w:val="left"/>
        <w:rPr/>
      </w:pPr>
      <w:r>
        <w:rPr/>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TO:          [_______________________]</w:t>
      </w:r>
    </w:p>
    <w:p>
      <w:pPr>
        <w:pStyle w:val="TextBody"/>
        <w:bidi w:val="0"/>
        <w:spacing w:lineRule="auto" w:line="300" w:before="0" w:after="0"/>
        <w:jc w:val="left"/>
        <w:rPr/>
      </w:pPr>
      <w:r>
        <w:rPr/>
      </w:r>
    </w:p>
    <w:p>
      <w:pPr>
        <w:pStyle w:val="TextBody"/>
        <w:bidi w:val="0"/>
        <w:spacing w:lineRule="auto" w:line="300" w:before="0" w:after="0"/>
        <w:ind w:left="0" w:right="0" w:firstLine="1440"/>
        <w:jc w:val="both"/>
        <w:rPr>
          <w:rFonts w:ascii="Times New Roman;Times;serif" w:hAnsi="Times New Roman;Times;serif"/>
          <w:color w:val="000000"/>
          <w:sz w:val="20"/>
        </w:rPr>
      </w:pPr>
      <w:r>
        <w:rPr>
          <w:rFonts w:ascii="Times New Roman;Times;serif" w:hAnsi="Times New Roman;Times;serif"/>
          <w:color w:val="000000"/>
          <w:sz w:val="20"/>
        </w:rPr>
        <w:t>(1)          The undersigned hereby elects to purchase ________ Warrant Shares of the Company pursuant to the terms of the attached Warrant (only if exercised in full), and tenders herewith payment of the exercise price in full, together with all applicable transfer taxes, if any.</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1440"/>
        <w:jc w:val="both"/>
        <w:rPr>
          <w:rFonts w:ascii="Times New Roman;Times;serif" w:hAnsi="Times New Roman;Times;serif"/>
          <w:color w:val="000000"/>
          <w:sz w:val="20"/>
        </w:rPr>
      </w:pPr>
      <w:r>
        <w:rPr>
          <w:rFonts w:ascii="Times New Roman;Times;serif" w:hAnsi="Times New Roman;Times;serif"/>
          <w:color w:val="000000"/>
          <w:sz w:val="20"/>
        </w:rPr>
        <w:t>(2)          Payment shall take the form of (check applicable box):</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2160" w:right="0" w:hanging="0"/>
        <w:jc w:val="both"/>
        <w:rPr>
          <w:rFonts w:ascii="Times New Roman;Times;serif" w:hAnsi="Times New Roman;Times;serif"/>
          <w:color w:val="000000"/>
          <w:sz w:val="20"/>
        </w:rPr>
      </w:pPr>
      <w:r>
        <w:rPr>
          <w:rFonts w:ascii="Times New Roman;Times;serif" w:hAnsi="Times New Roman;Times;serif"/>
          <w:color w:val="000000"/>
          <w:sz w:val="20"/>
        </w:rPr>
        <w:t>[  ] in lawful money of the United States; or</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2160" w:right="0" w:hanging="0"/>
        <w:jc w:val="both"/>
        <w:rPr>
          <w:rFonts w:ascii="Times New Roman;Times;serif" w:hAnsi="Times New Roman;Times;serif"/>
          <w:color w:val="000000"/>
          <w:sz w:val="20"/>
        </w:rPr>
      </w:pPr>
      <w:r>
        <w:rPr>
          <w:rFonts w:ascii="Times New Roman;Times;serif" w:hAnsi="Times New Roman;Times;serif"/>
          <w:color w:val="000000"/>
          <w:sz w:val="20"/>
        </w:rPr>
        <w:t>[  ] the cancellation of such number of Warrant Shares as is necessary, in accordance with the formula set forth in subsection 2(c), to exercise this Warrant with respect to the maximum number of Warrant Shares purchasable pursuant to the cashless exercise procedure set forth in subsection 2(c).</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1440"/>
        <w:jc w:val="both"/>
        <w:rPr>
          <w:rFonts w:ascii="Times New Roman;Times;serif" w:hAnsi="Times New Roman;Times;serif"/>
          <w:color w:val="000000"/>
          <w:sz w:val="20"/>
        </w:rPr>
      </w:pPr>
      <w:r>
        <w:rPr>
          <w:rFonts w:ascii="Times New Roman;Times;serif" w:hAnsi="Times New Roman;Times;serif"/>
          <w:color w:val="000000"/>
          <w:sz w:val="20"/>
        </w:rPr>
        <w:t>(3)          Please issue said Warrant Shares in the name of the undersigned or in such other name as is specified below:</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2160"/>
        <w:jc w:val="both"/>
        <w:rPr>
          <w:rFonts w:ascii="Times New Roman;Times;serif" w:hAnsi="Times New Roman;Times;serif"/>
          <w:color w:val="000000"/>
          <w:sz w:val="20"/>
        </w:rPr>
      </w:pPr>
      <w:r>
        <w:rPr>
          <w:rFonts w:ascii="Times New Roman;Times;serif" w:hAnsi="Times New Roman;Times;serif"/>
          <w:color w:val="000000"/>
          <w:sz w:val="20"/>
        </w:rPr>
        <w:t>_______________________________</w:t>
      </w:r>
    </w:p>
    <w:p>
      <w:pPr>
        <w:pStyle w:val="TextBody"/>
        <w:bidi w:val="0"/>
        <w:spacing w:lineRule="auto" w:line="300" w:before="0" w:after="0"/>
        <w:jc w:val="left"/>
        <w:rPr/>
      </w:pPr>
      <w:r>
        <w:rPr/>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The Warrant Shares shall be delivered to the following DWAC Account Number:</w:t>
      </w:r>
    </w:p>
    <w:p>
      <w:pPr>
        <w:pStyle w:val="TextBody"/>
        <w:bidi w:val="0"/>
        <w:spacing w:lineRule="auto" w:line="300" w:before="0" w:after="0"/>
        <w:jc w:val="left"/>
        <w:rPr/>
      </w:pPr>
      <w:r>
        <w:rPr/>
      </w:r>
    </w:p>
    <w:p>
      <w:pPr>
        <w:pStyle w:val="TextBody"/>
        <w:bidi w:val="0"/>
        <w:spacing w:lineRule="auto" w:line="300" w:before="0" w:after="0"/>
        <w:ind w:left="0" w:right="0" w:firstLine="2160"/>
        <w:jc w:val="both"/>
        <w:rPr>
          <w:rFonts w:ascii="Times New Roman;Times;serif" w:hAnsi="Times New Roman;Times;serif"/>
          <w:color w:val="000000"/>
          <w:sz w:val="20"/>
        </w:rPr>
      </w:pPr>
      <w:r>
        <w:rPr>
          <w:rFonts w:ascii="Times New Roman;Times;serif" w:hAnsi="Times New Roman;Times;serif"/>
          <w:color w:val="000000"/>
          <w:sz w:val="20"/>
        </w:rPr>
        <w:t>_______________________________</w:t>
      </w:r>
    </w:p>
    <w:p>
      <w:pPr>
        <w:pStyle w:val="TextBody"/>
        <w:bidi w:val="0"/>
        <w:spacing w:lineRule="auto" w:line="300" w:before="0" w:after="0"/>
        <w:jc w:val="left"/>
        <w:rPr/>
      </w:pPr>
      <w:r>
        <w:rPr/>
      </w:r>
    </w:p>
    <w:p>
      <w:pPr>
        <w:pStyle w:val="TextBody"/>
        <w:bidi w:val="0"/>
        <w:spacing w:lineRule="auto" w:line="300" w:before="0" w:after="0"/>
        <w:ind w:left="0" w:right="0" w:firstLine="2160"/>
        <w:jc w:val="both"/>
        <w:rPr>
          <w:rFonts w:ascii="Times New Roman;Times;serif" w:hAnsi="Times New Roman;Times;serif"/>
          <w:color w:val="000000"/>
          <w:sz w:val="20"/>
        </w:rPr>
      </w:pPr>
      <w:r>
        <w:rPr>
          <w:rFonts w:ascii="Times New Roman;Times;serif" w:hAnsi="Times New Roman;Times;serif"/>
          <w:color w:val="000000"/>
          <w:sz w:val="20"/>
        </w:rPr>
        <w:t>_______________________________</w:t>
      </w:r>
    </w:p>
    <w:p>
      <w:pPr>
        <w:pStyle w:val="TextBody"/>
        <w:bidi w:val="0"/>
        <w:spacing w:lineRule="auto" w:line="300" w:before="0" w:after="0"/>
        <w:jc w:val="left"/>
        <w:rPr/>
      </w:pPr>
      <w:r>
        <w:rPr/>
      </w:r>
    </w:p>
    <w:p>
      <w:pPr>
        <w:pStyle w:val="TextBody"/>
        <w:bidi w:val="0"/>
        <w:spacing w:lineRule="auto" w:line="300" w:before="0" w:after="0"/>
        <w:ind w:left="0" w:right="0" w:firstLine="2160"/>
        <w:jc w:val="both"/>
        <w:rPr>
          <w:rFonts w:ascii="Times New Roman;Times;serif" w:hAnsi="Times New Roman;Times;serif"/>
          <w:color w:val="000000"/>
          <w:sz w:val="20"/>
        </w:rPr>
      </w:pPr>
      <w:r>
        <w:rPr>
          <w:rFonts w:ascii="Times New Roman;Times;serif" w:hAnsi="Times New Roman;Times;serif"/>
          <w:color w:val="000000"/>
          <w:sz w:val="20"/>
        </w:rPr>
        <w:t>_______________________________</w:t>
      </w:r>
    </w:p>
    <w:p>
      <w:pPr>
        <w:pStyle w:val="TextBody"/>
        <w:bidi w:val="0"/>
        <w:spacing w:lineRule="auto" w:line="300" w:before="0" w:after="0"/>
        <w:jc w:val="left"/>
        <w:rPr/>
      </w:pPr>
      <w:r>
        <w:rPr/>
      </w:r>
    </w:p>
    <w:p>
      <w:pPr>
        <w:pStyle w:val="TextBody"/>
        <w:bidi w:val="0"/>
        <w:spacing w:lineRule="auto" w:line="300" w:before="0" w:after="0"/>
        <w:ind w:left="0" w:right="0" w:firstLine="1440"/>
        <w:jc w:val="both"/>
        <w:rPr>
          <w:rFonts w:ascii="Times New Roman;Times;serif" w:hAnsi="Times New Roman;Times;serif"/>
          <w:color w:val="000000"/>
          <w:sz w:val="20"/>
        </w:rPr>
      </w:pPr>
      <w:r>
        <w:rPr>
          <w:rFonts w:ascii="Times New Roman;Times;serif" w:hAnsi="Times New Roman;Times;serif"/>
          <w:color w:val="000000"/>
          <w:sz w:val="20"/>
        </w:rPr>
        <w:t>(4)          </w:t>
      </w:r>
      <w:r>
        <w:rPr>
          <w:rFonts w:ascii="Times New Roman;Times;serif" w:hAnsi="Times New Roman;Times;serif"/>
          <w:color w:val="000000"/>
          <w:sz w:val="20"/>
          <w:u w:val="single"/>
        </w:rPr>
        <w:t>Accredited Investor</w:t>
      </w:r>
      <w:r>
        <w:rPr>
          <w:rFonts w:ascii="Times New Roman;Times;serif" w:hAnsi="Times New Roman;Times;serif"/>
          <w:color w:val="000000"/>
          <w:sz w:val="20"/>
        </w:rPr>
        <w:t>.  The undersigned is an “accredited investor” as defined in Regulation D promulgated under the Securities Act of 1933, as amended.</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[SIGNATURE OF HOLDER]</w:t>
      </w:r>
    </w:p>
    <w:p>
      <w:pPr>
        <w:pStyle w:val="TextBody"/>
        <w:bidi w:val="0"/>
        <w:spacing w:lineRule="auto" w:line="300" w:before="0" w:after="0"/>
        <w:jc w:val="left"/>
        <w:rPr/>
      </w:pPr>
      <w:r>
        <w:rPr/>
      </w:r>
    </w:p>
    <w:tbl>
      <w:tblPr>
        <w:tblW w:w="2525" w:type="dxa"/>
        <w:jc w:val="left"/>
        <w:tblInd w:w="0" w:type="dxa"/>
        <w:tblLayout w:type="fixed"/>
        <w:tblCellMar>
          <w:top w:w="0" w:type="dxa"/>
          <w:left w:w="0" w:type="dxa"/>
          <w:bottom w:w="0" w:type="dxa"/>
          <w:right w:w="0" w:type="dxa"/>
        </w:tblCellMar>
      </w:tblPr>
      <w:tblGrid>
        <w:gridCol w:w="2465"/>
        <w:gridCol w:w="60"/>
      </w:tblGrid>
      <w:tr>
        <w:trPr/>
        <w:tc>
          <w:tcPr>
            <w:tcW w:w="2465" w:type="dxa"/>
            <w:tcBorders/>
            <w:vAlign w:val="center"/>
          </w:tcPr>
          <w:p>
            <w:pPr>
              <w:pStyle w:val="TableContents"/>
              <w:bidi w:val="0"/>
              <w:spacing w:before="0" w:after="283"/>
              <w:jc w:val="left"/>
              <w:rPr/>
            </w:pPr>
            <w:r>
              <w:rPr/>
              <w:t>Name of Investing Entity:</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bl>
    <w:tbl>
      <w:tblPr>
        <w:tblW w:w="4505" w:type="dxa"/>
        <w:jc w:val="left"/>
        <w:tblInd w:w="0" w:type="dxa"/>
        <w:tblLayout w:type="fixed"/>
        <w:tblCellMar>
          <w:top w:w="0" w:type="dxa"/>
          <w:left w:w="0" w:type="dxa"/>
          <w:bottom w:w="0" w:type="dxa"/>
          <w:right w:w="0" w:type="dxa"/>
        </w:tblCellMar>
      </w:tblPr>
      <w:tblGrid>
        <w:gridCol w:w="4445"/>
        <w:gridCol w:w="60"/>
      </w:tblGrid>
      <w:tr>
        <w:trPr/>
        <w:tc>
          <w:tcPr>
            <w:tcW w:w="4445" w:type="dxa"/>
            <w:tcBorders/>
            <w:vAlign w:val="center"/>
          </w:tcPr>
          <w:p>
            <w:pPr>
              <w:pStyle w:val="TableContents"/>
              <w:bidi w:val="0"/>
              <w:spacing w:before="0" w:after="283"/>
              <w:jc w:val="left"/>
              <w:rPr/>
            </w:pPr>
            <w:r>
              <w:rPr>
                <w:rFonts w:ascii="Times New Roman;Times;serif" w:hAnsi="Times New Roman;Times;serif"/>
                <w:i/>
                <w:sz w:val="20"/>
              </w:rPr>
              <w:t>Signature of Authorized Signatory of Investing Entity</w:t>
            </w:r>
            <w:r>
              <w:rPr/>
              <w:t>:</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bl>
    <w:tbl>
      <w:tblPr>
        <w:tblW w:w="3065" w:type="dxa"/>
        <w:jc w:val="left"/>
        <w:tblInd w:w="0" w:type="dxa"/>
        <w:tblLayout w:type="fixed"/>
        <w:tblCellMar>
          <w:top w:w="0" w:type="dxa"/>
          <w:left w:w="0" w:type="dxa"/>
          <w:bottom w:w="0" w:type="dxa"/>
          <w:right w:w="0" w:type="dxa"/>
        </w:tblCellMar>
      </w:tblPr>
      <w:tblGrid>
        <w:gridCol w:w="3005"/>
        <w:gridCol w:w="60"/>
      </w:tblGrid>
      <w:tr>
        <w:trPr/>
        <w:tc>
          <w:tcPr>
            <w:tcW w:w="3005" w:type="dxa"/>
            <w:tcBorders/>
            <w:vAlign w:val="center"/>
          </w:tcPr>
          <w:p>
            <w:pPr>
              <w:pStyle w:val="TableContents"/>
              <w:bidi w:val="0"/>
              <w:spacing w:before="0" w:after="283"/>
              <w:jc w:val="left"/>
              <w:rPr/>
            </w:pPr>
            <w:r>
              <w:rPr/>
              <w:t>Name of Authorized Signatory:</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bl>
    <w:tbl>
      <w:tblPr>
        <w:tblW w:w="2930" w:type="dxa"/>
        <w:jc w:val="left"/>
        <w:tblInd w:w="0" w:type="dxa"/>
        <w:tblLayout w:type="fixed"/>
        <w:tblCellMar>
          <w:top w:w="0" w:type="dxa"/>
          <w:left w:w="0" w:type="dxa"/>
          <w:bottom w:w="0" w:type="dxa"/>
          <w:right w:w="0" w:type="dxa"/>
        </w:tblCellMar>
      </w:tblPr>
      <w:tblGrid>
        <w:gridCol w:w="2870"/>
        <w:gridCol w:w="60"/>
      </w:tblGrid>
      <w:tr>
        <w:trPr/>
        <w:tc>
          <w:tcPr>
            <w:tcW w:w="2870" w:type="dxa"/>
            <w:tcBorders/>
            <w:vAlign w:val="center"/>
          </w:tcPr>
          <w:p>
            <w:pPr>
              <w:pStyle w:val="TableContents"/>
              <w:bidi w:val="0"/>
              <w:spacing w:before="0" w:after="283"/>
              <w:jc w:val="left"/>
              <w:rPr/>
            </w:pPr>
            <w:r>
              <w:rPr/>
              <w:t>Title of Authorized Signatory:</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bl>
    <w:tbl>
      <w:tblPr>
        <w:tblW w:w="590" w:type="dxa"/>
        <w:jc w:val="left"/>
        <w:tblInd w:w="0" w:type="dxa"/>
        <w:tblLayout w:type="fixed"/>
        <w:tblCellMar>
          <w:top w:w="0" w:type="dxa"/>
          <w:left w:w="0" w:type="dxa"/>
          <w:bottom w:w="0" w:type="dxa"/>
          <w:right w:w="0" w:type="dxa"/>
        </w:tblCellMar>
      </w:tblPr>
      <w:tblGrid>
        <w:gridCol w:w="530"/>
        <w:gridCol w:w="60"/>
      </w:tblGrid>
      <w:tr>
        <w:trPr/>
        <w:tc>
          <w:tcPr>
            <w:tcW w:w="530" w:type="dxa"/>
            <w:tcBorders/>
            <w:vAlign w:val="center"/>
          </w:tcPr>
          <w:p>
            <w:pPr>
              <w:pStyle w:val="TableContents"/>
              <w:bidi w:val="0"/>
              <w:spacing w:before="0" w:after="283"/>
              <w:jc w:val="left"/>
              <w:rPr/>
            </w:pPr>
            <w:r>
              <w:rPr/>
              <w:t>Date:</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bl>
    <w:p>
      <w:pPr>
        <w:pStyle w:val="TextBody"/>
        <w:bidi w:val="0"/>
        <w:spacing w:lineRule="auto" w:line="300" w:before="0" w:after="0"/>
        <w:jc w:val="left"/>
        <w:rPr/>
      </w:pPr>
      <w:r>
        <w:rPr/>
      </w:r>
    </w:p>
    <w:p>
      <w:pPr>
        <w:pStyle w:val="HorizontalLine"/>
        <w:pBdr>
          <w:bottom w:val="single" w:sz="12" w:space="0" w:color="808080"/>
        </w:pBdr>
        <w:bidi w:val="0"/>
        <w:spacing w:lineRule="auto" w:line="300" w:before="200" w:after="200"/>
        <w:jc w:val="left"/>
        <w:rPr/>
      </w:pPr>
      <w:r>
        <w:rPr/>
      </w:r>
    </w:p>
    <w:p>
      <w:pPr>
        <w:pStyle w:val="TextBody"/>
        <w:bidi w:val="0"/>
        <w:spacing w:lineRule="auto" w:line="300" w:before="0" w:after="0"/>
        <w:jc w:val="left"/>
        <w:rPr/>
      </w:pPr>
      <w:r>
        <w:rPr/>
      </w:r>
    </w:p>
    <w:p>
      <w:pPr>
        <w:pStyle w:val="TextBody"/>
        <w:bidi w:val="0"/>
        <w:spacing w:lineRule="auto" w:line="300" w:before="0" w:after="0"/>
        <w:jc w:val="center"/>
        <w:rPr>
          <w:rFonts w:ascii="Times New Roman;Times;serif" w:hAnsi="Times New Roman;Times;serif"/>
          <w:color w:val="000000"/>
          <w:sz w:val="20"/>
        </w:rPr>
      </w:pPr>
      <w:r>
        <w:rPr>
          <w:rFonts w:ascii="Times New Roman;Times;serif" w:hAnsi="Times New Roman;Times;serif"/>
          <w:color w:val="000000"/>
          <w:sz w:val="20"/>
        </w:rPr>
        <w:t>ASSIGNMENT FORM</w:t>
      </w:r>
    </w:p>
    <w:p>
      <w:pPr>
        <w:pStyle w:val="TextBody"/>
        <w:bidi w:val="0"/>
        <w:spacing w:lineRule="auto" w:line="300" w:before="0" w:after="0"/>
        <w:jc w:val="center"/>
        <w:rPr>
          <w:rFonts w:ascii="Times New Roman;Times;serif" w:hAnsi="Times New Roman;Times;serif"/>
          <w:sz w:val="20"/>
        </w:rPr>
      </w:pPr>
      <w:r>
        <w:rPr>
          <w:rFonts w:ascii="Times New Roman;Times;serif" w:hAnsi="Times New Roman;Times;serif"/>
          <w:sz w:val="20"/>
        </w:rPr>
      </w:r>
    </w:p>
    <w:p>
      <w:pPr>
        <w:pStyle w:val="TextBody"/>
        <w:bidi w:val="0"/>
        <w:spacing w:lineRule="auto" w:line="300" w:before="0" w:after="0"/>
        <w:ind w:left="0" w:right="0" w:firstLine="210"/>
        <w:jc w:val="both"/>
        <w:rPr>
          <w:color w:val="000000"/>
        </w:rPr>
      </w:pPr>
      <w:r>
        <w:rPr>
          <w:color w:val="000000"/>
        </w:rPr>
        <w:t> </w:t>
      </w:r>
      <w:r>
        <w:rPr>
          <w:rFonts w:ascii="Times New Roman;Times;serif" w:hAnsi="Times New Roman;Times;serif"/>
          <w:i/>
          <w:color w:val="000000"/>
          <w:sz w:val="20"/>
        </w:rPr>
        <w:t>(To assign the foregoing Warrant, execute this form and supply required information.  Do not use this form to exercise the Warrant to purchase shares.)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210"/>
        <w:jc w:val="both"/>
        <w:rPr>
          <w:rFonts w:ascii="Times New Roman;Times;serif" w:hAnsi="Times New Roman;Times;serif"/>
          <w:color w:val="000000"/>
          <w:sz w:val="20"/>
        </w:rPr>
      </w:pPr>
      <w:r>
        <w:rPr>
          <w:rFonts w:ascii="Times New Roman;Times;serif" w:hAnsi="Times New Roman;Times;serif"/>
          <w:color w:val="000000"/>
          <w:sz w:val="20"/>
        </w:rPr>
        <w:t>FOR VALUE RECEIVED, the foregoing Warrant and all rights evidenced thereby are hereby assigned to</w:t>
      </w:r>
    </w:p>
    <w:p>
      <w:pPr>
        <w:pStyle w:val="TextBody"/>
        <w:bidi w:val="0"/>
        <w:spacing w:lineRule="auto" w:line="300" w:before="0" w:after="0"/>
        <w:jc w:val="left"/>
        <w:rPr/>
      </w:pPr>
      <w:r>
        <w:rPr/>
      </w:r>
    </w:p>
    <w:p>
      <w:pPr>
        <w:pStyle w:val="Normal"/>
        <w:bidi w:val="0"/>
        <w:spacing w:lineRule="auto" w:line="300" w:before="0" w:after="0"/>
        <w:jc w:val="left"/>
        <w:rPr>
          <w:sz w:val="4"/>
          <w:szCs w:val="4"/>
        </w:rPr>
      </w:pPr>
      <w:r>
        <w:rPr>
          <w:sz w:val="4"/>
          <w:szCs w:val="4"/>
        </w:rPr>
      </w:r>
      <w:bookmarkStart w:id="254" w:name="0cca975b141f47039c6b669cdd33c830"/>
      <w:bookmarkStart w:id="255" w:name="0cca975b141f47039c6b669cdd33c830"/>
      <w:bookmarkEnd w:id="255"/>
    </w:p>
    <w:tbl>
      <w:tblPr>
        <w:tblW w:w="5485" w:type="dxa"/>
        <w:jc w:val="left"/>
        <w:tblInd w:w="0" w:type="dxa"/>
        <w:tblLayout w:type="fixed"/>
        <w:tblCellMar>
          <w:top w:w="0" w:type="dxa"/>
          <w:left w:w="0" w:type="dxa"/>
          <w:bottom w:w="0" w:type="dxa"/>
          <w:right w:w="0" w:type="dxa"/>
        </w:tblCellMar>
      </w:tblPr>
      <w:tblGrid>
        <w:gridCol w:w="4190"/>
        <w:gridCol w:w="1295"/>
      </w:tblGrid>
      <w:tr>
        <w:trPr/>
        <w:tc>
          <w:tcPr>
            <w:tcW w:w="4190" w:type="dxa"/>
            <w:tcBorders/>
            <w:vAlign w:val="center"/>
          </w:tcPr>
          <w:p>
            <w:pPr>
              <w:pStyle w:val="TableContents"/>
              <w:bidi w:val="0"/>
              <w:spacing w:before="0" w:after="283"/>
              <w:jc w:val="left"/>
              <w:rPr/>
            </w:pPr>
            <w:r>
              <w:rPr/>
              <w:t>Name:</w:t>
            </w:r>
          </w:p>
        </w:tc>
        <w:tc>
          <w:tcPr>
            <w:tcW w:w="1295" w:type="dxa"/>
            <w:tcBorders>
              <w:bottom w:val="single" w:sz="2" w:space="0" w:color="000000"/>
            </w:tcBorders>
            <w:tcMar>
              <w:bottom w:w="28" w:type="dxa"/>
            </w:tcMar>
            <w:vAlign w:val="center"/>
          </w:tcPr>
          <w:p>
            <w:pPr>
              <w:pStyle w:val="TableContents"/>
              <w:bidi w:val="0"/>
              <w:spacing w:before="0" w:after="283"/>
              <w:jc w:val="left"/>
              <w:rPr/>
            </w:pPr>
            <w:r>
              <w:rPr/>
            </w:r>
          </w:p>
        </w:tc>
      </w:tr>
      <w:tr>
        <w:trPr/>
        <w:tc>
          <w:tcPr>
            <w:tcW w:w="4190" w:type="dxa"/>
            <w:tcBorders/>
            <w:vAlign w:val="center"/>
          </w:tcPr>
          <w:p>
            <w:pPr>
              <w:pStyle w:val="TableContents"/>
              <w:bidi w:val="0"/>
              <w:spacing w:before="0" w:after="283"/>
              <w:jc w:val="left"/>
              <w:rPr/>
            </w:pPr>
            <w:r>
              <w:rPr/>
            </w:r>
          </w:p>
        </w:tc>
        <w:tc>
          <w:tcPr>
            <w:tcW w:w="1295" w:type="dxa"/>
            <w:tcBorders/>
            <w:vAlign w:val="center"/>
          </w:tcPr>
          <w:p>
            <w:pPr>
              <w:pStyle w:val="TableContents"/>
              <w:bidi w:val="0"/>
              <w:spacing w:before="0" w:after="283"/>
              <w:jc w:val="left"/>
              <w:rPr/>
            </w:pPr>
            <w:r>
              <w:rPr/>
              <w:t>(Please Print)</w:t>
            </w:r>
          </w:p>
        </w:tc>
      </w:tr>
      <w:tr>
        <w:trPr/>
        <w:tc>
          <w:tcPr>
            <w:tcW w:w="4190" w:type="dxa"/>
            <w:tcBorders/>
            <w:vAlign w:val="center"/>
          </w:tcPr>
          <w:p>
            <w:pPr>
              <w:pStyle w:val="TableContents"/>
              <w:bidi w:val="0"/>
              <w:spacing w:before="0" w:after="283"/>
              <w:jc w:val="left"/>
              <w:rPr/>
            </w:pPr>
            <w:r>
              <w:rPr/>
            </w:r>
          </w:p>
        </w:tc>
        <w:tc>
          <w:tcPr>
            <w:tcW w:w="1295" w:type="dxa"/>
            <w:tcBorders/>
            <w:vAlign w:val="center"/>
          </w:tcPr>
          <w:p>
            <w:pPr>
              <w:pStyle w:val="TableContents"/>
              <w:bidi w:val="0"/>
              <w:spacing w:before="0" w:after="283"/>
              <w:jc w:val="left"/>
              <w:rPr/>
            </w:pPr>
            <w:r>
              <w:rPr/>
            </w:r>
          </w:p>
        </w:tc>
      </w:tr>
      <w:tr>
        <w:trPr/>
        <w:tc>
          <w:tcPr>
            <w:tcW w:w="4190" w:type="dxa"/>
            <w:tcBorders/>
            <w:vAlign w:val="center"/>
          </w:tcPr>
          <w:p>
            <w:pPr>
              <w:pStyle w:val="TableContents"/>
              <w:bidi w:val="0"/>
              <w:spacing w:before="0" w:after="283"/>
              <w:jc w:val="left"/>
              <w:rPr/>
            </w:pPr>
            <w:r>
              <w:rPr/>
              <w:t>Address:</w:t>
            </w:r>
          </w:p>
        </w:tc>
        <w:tc>
          <w:tcPr>
            <w:tcW w:w="1295" w:type="dxa"/>
            <w:tcBorders>
              <w:bottom w:val="single" w:sz="2" w:space="0" w:color="000000"/>
            </w:tcBorders>
            <w:tcMar>
              <w:bottom w:w="28" w:type="dxa"/>
            </w:tcMar>
            <w:vAlign w:val="center"/>
          </w:tcPr>
          <w:p>
            <w:pPr>
              <w:pStyle w:val="TableContents"/>
              <w:bidi w:val="0"/>
              <w:spacing w:before="0" w:after="283"/>
              <w:jc w:val="left"/>
              <w:rPr/>
            </w:pPr>
            <w:r>
              <w:rPr/>
            </w:r>
          </w:p>
        </w:tc>
      </w:tr>
      <w:tr>
        <w:trPr/>
        <w:tc>
          <w:tcPr>
            <w:tcW w:w="4190" w:type="dxa"/>
            <w:tcBorders/>
            <w:vAlign w:val="center"/>
          </w:tcPr>
          <w:p>
            <w:pPr>
              <w:pStyle w:val="TableContents"/>
              <w:bidi w:val="0"/>
              <w:spacing w:before="0" w:after="283"/>
              <w:jc w:val="left"/>
              <w:rPr/>
            </w:pPr>
            <w:r>
              <w:rPr/>
            </w:r>
          </w:p>
        </w:tc>
        <w:tc>
          <w:tcPr>
            <w:tcW w:w="1295" w:type="dxa"/>
            <w:tcBorders/>
            <w:vAlign w:val="center"/>
          </w:tcPr>
          <w:p>
            <w:pPr>
              <w:pStyle w:val="TableContents"/>
              <w:bidi w:val="0"/>
              <w:spacing w:before="0" w:after="283"/>
              <w:jc w:val="left"/>
              <w:rPr/>
            </w:pPr>
            <w:r>
              <w:rPr/>
              <w:t>(Please Print)</w:t>
            </w:r>
          </w:p>
        </w:tc>
      </w:tr>
      <w:tr>
        <w:trPr/>
        <w:tc>
          <w:tcPr>
            <w:tcW w:w="4190" w:type="dxa"/>
            <w:tcBorders/>
            <w:vAlign w:val="center"/>
          </w:tcPr>
          <w:p>
            <w:pPr>
              <w:pStyle w:val="TableContents"/>
              <w:bidi w:val="0"/>
              <w:spacing w:before="0" w:after="283"/>
              <w:jc w:val="left"/>
              <w:rPr/>
            </w:pPr>
            <w:r>
              <w:rPr/>
            </w:r>
          </w:p>
        </w:tc>
        <w:tc>
          <w:tcPr>
            <w:tcW w:w="1295" w:type="dxa"/>
            <w:tcBorders/>
            <w:vAlign w:val="center"/>
          </w:tcPr>
          <w:p>
            <w:pPr>
              <w:pStyle w:val="TableContents"/>
              <w:bidi w:val="0"/>
              <w:spacing w:before="0" w:after="283"/>
              <w:jc w:val="left"/>
              <w:rPr/>
            </w:pPr>
            <w:r>
              <w:rPr/>
            </w:r>
          </w:p>
        </w:tc>
      </w:tr>
      <w:tr>
        <w:trPr/>
        <w:tc>
          <w:tcPr>
            <w:tcW w:w="4190" w:type="dxa"/>
            <w:tcBorders/>
            <w:vAlign w:val="center"/>
          </w:tcPr>
          <w:p>
            <w:pPr>
              <w:pStyle w:val="TableContents"/>
              <w:bidi w:val="0"/>
              <w:spacing w:before="0" w:after="283"/>
              <w:jc w:val="left"/>
              <w:rPr/>
            </w:pPr>
            <w:r>
              <w:rPr/>
              <w:t>Phone Number:</w:t>
            </w:r>
          </w:p>
        </w:tc>
        <w:tc>
          <w:tcPr>
            <w:tcW w:w="1295" w:type="dxa"/>
            <w:tcBorders>
              <w:bottom w:val="single" w:sz="2" w:space="0" w:color="000000"/>
            </w:tcBorders>
            <w:tcMar>
              <w:bottom w:w="28" w:type="dxa"/>
            </w:tcMar>
            <w:vAlign w:val="center"/>
          </w:tcPr>
          <w:p>
            <w:pPr>
              <w:pStyle w:val="TableContents"/>
              <w:bidi w:val="0"/>
              <w:spacing w:before="0" w:after="283"/>
              <w:jc w:val="left"/>
              <w:rPr/>
            </w:pPr>
            <w:r>
              <w:rPr/>
            </w:r>
          </w:p>
        </w:tc>
      </w:tr>
      <w:tr>
        <w:trPr/>
        <w:tc>
          <w:tcPr>
            <w:tcW w:w="4190" w:type="dxa"/>
            <w:tcBorders/>
            <w:vAlign w:val="center"/>
          </w:tcPr>
          <w:p>
            <w:pPr>
              <w:pStyle w:val="TableContents"/>
              <w:bidi w:val="0"/>
              <w:spacing w:before="0" w:after="283"/>
              <w:jc w:val="left"/>
              <w:rPr/>
            </w:pPr>
            <w:r>
              <w:rPr/>
            </w:r>
          </w:p>
        </w:tc>
        <w:tc>
          <w:tcPr>
            <w:tcW w:w="1295" w:type="dxa"/>
            <w:tcBorders/>
            <w:vAlign w:val="center"/>
          </w:tcPr>
          <w:p>
            <w:pPr>
              <w:pStyle w:val="TableContents"/>
              <w:bidi w:val="0"/>
              <w:spacing w:before="0" w:after="283"/>
              <w:jc w:val="left"/>
              <w:rPr/>
            </w:pPr>
            <w:r>
              <w:rPr/>
            </w:r>
          </w:p>
        </w:tc>
      </w:tr>
      <w:tr>
        <w:trPr/>
        <w:tc>
          <w:tcPr>
            <w:tcW w:w="4190" w:type="dxa"/>
            <w:tcBorders/>
            <w:vAlign w:val="center"/>
          </w:tcPr>
          <w:p>
            <w:pPr>
              <w:pStyle w:val="TableContents"/>
              <w:bidi w:val="0"/>
              <w:spacing w:before="0" w:after="283"/>
              <w:jc w:val="left"/>
              <w:rPr/>
            </w:pPr>
            <w:r>
              <w:rPr/>
              <w:t>Email Address:</w:t>
            </w:r>
          </w:p>
        </w:tc>
        <w:tc>
          <w:tcPr>
            <w:tcW w:w="1295" w:type="dxa"/>
            <w:tcBorders>
              <w:bottom w:val="single" w:sz="2" w:space="0" w:color="000000"/>
            </w:tcBorders>
            <w:tcMar>
              <w:bottom w:w="28" w:type="dxa"/>
            </w:tcMar>
            <w:vAlign w:val="center"/>
          </w:tcPr>
          <w:p>
            <w:pPr>
              <w:pStyle w:val="TableContents"/>
              <w:bidi w:val="0"/>
              <w:spacing w:before="0" w:after="283"/>
              <w:jc w:val="left"/>
              <w:rPr/>
            </w:pPr>
            <w:r>
              <w:rPr/>
            </w:r>
          </w:p>
        </w:tc>
      </w:tr>
      <w:tr>
        <w:trPr/>
        <w:tc>
          <w:tcPr>
            <w:tcW w:w="4190" w:type="dxa"/>
            <w:tcBorders/>
            <w:vAlign w:val="center"/>
          </w:tcPr>
          <w:p>
            <w:pPr>
              <w:pStyle w:val="TableContents"/>
              <w:bidi w:val="0"/>
              <w:spacing w:before="0" w:after="283"/>
              <w:jc w:val="left"/>
              <w:rPr/>
            </w:pPr>
            <w:r>
              <w:rPr/>
            </w:r>
          </w:p>
        </w:tc>
        <w:tc>
          <w:tcPr>
            <w:tcW w:w="1295" w:type="dxa"/>
            <w:tcBorders/>
            <w:vAlign w:val="center"/>
          </w:tcPr>
          <w:p>
            <w:pPr>
              <w:pStyle w:val="TableContents"/>
              <w:bidi w:val="0"/>
              <w:spacing w:before="0" w:after="283"/>
              <w:jc w:val="left"/>
              <w:rPr/>
            </w:pPr>
            <w:r>
              <w:rPr/>
            </w:r>
          </w:p>
        </w:tc>
      </w:tr>
      <w:tr>
        <w:trPr/>
        <w:tc>
          <w:tcPr>
            <w:tcW w:w="4190" w:type="dxa"/>
            <w:tcBorders/>
            <w:vAlign w:val="center"/>
          </w:tcPr>
          <w:p>
            <w:pPr>
              <w:pStyle w:val="TableContents"/>
              <w:bidi w:val="0"/>
              <w:spacing w:before="0" w:after="283"/>
              <w:jc w:val="left"/>
              <w:rPr/>
            </w:pPr>
            <w:r>
              <w:rPr/>
              <w:t>Dated: _______________ __, ______</w:t>
            </w:r>
          </w:p>
        </w:tc>
        <w:tc>
          <w:tcPr>
            <w:tcW w:w="1295" w:type="dxa"/>
            <w:tcBorders/>
            <w:vAlign w:val="center"/>
          </w:tcPr>
          <w:p>
            <w:pPr>
              <w:pStyle w:val="TableContents"/>
              <w:bidi w:val="0"/>
              <w:spacing w:before="0" w:after="283"/>
              <w:jc w:val="left"/>
              <w:rPr/>
            </w:pPr>
            <w:r>
              <w:rPr/>
            </w:r>
          </w:p>
        </w:tc>
      </w:tr>
      <w:tr>
        <w:trPr/>
        <w:tc>
          <w:tcPr>
            <w:tcW w:w="4190" w:type="dxa"/>
            <w:tcBorders/>
            <w:vAlign w:val="center"/>
          </w:tcPr>
          <w:p>
            <w:pPr>
              <w:pStyle w:val="TableContents"/>
              <w:bidi w:val="0"/>
              <w:spacing w:before="0" w:after="283"/>
              <w:jc w:val="left"/>
              <w:rPr/>
            </w:pPr>
            <w:r>
              <w:rPr/>
            </w:r>
          </w:p>
        </w:tc>
        <w:tc>
          <w:tcPr>
            <w:tcW w:w="1295" w:type="dxa"/>
            <w:tcBorders/>
            <w:vAlign w:val="center"/>
          </w:tcPr>
          <w:p>
            <w:pPr>
              <w:pStyle w:val="TableContents"/>
              <w:bidi w:val="0"/>
              <w:spacing w:before="0" w:after="283"/>
              <w:jc w:val="left"/>
              <w:rPr/>
            </w:pPr>
            <w:r>
              <w:rPr/>
            </w:r>
          </w:p>
        </w:tc>
      </w:tr>
      <w:tr>
        <w:trPr/>
        <w:tc>
          <w:tcPr>
            <w:tcW w:w="4190" w:type="dxa"/>
            <w:tcBorders/>
            <w:vAlign w:val="center"/>
          </w:tcPr>
          <w:p>
            <w:pPr>
              <w:pStyle w:val="TableContents"/>
              <w:bidi w:val="0"/>
              <w:spacing w:before="0" w:after="283"/>
              <w:jc w:val="left"/>
              <w:rPr/>
            </w:pPr>
            <w:r>
              <w:rPr>
                <w:rFonts w:ascii="Times New Roman;Times;serif" w:hAnsi="Times New Roman;Times;serif"/>
                <w:sz w:val="20"/>
              </w:rPr>
              <w:t>Holder’s Signature:</w:t>
            </w:r>
            <w:r>
              <w:rPr/>
              <w:t> </w:t>
            </w:r>
            <w:r>
              <w:rPr>
                <w:u w:val="single"/>
              </w:rPr>
              <w:t xml:space="preserve">                                          </w:t>
            </w:r>
          </w:p>
        </w:tc>
        <w:tc>
          <w:tcPr>
            <w:tcW w:w="1295" w:type="dxa"/>
            <w:tcBorders/>
            <w:vAlign w:val="center"/>
          </w:tcPr>
          <w:p>
            <w:pPr>
              <w:pStyle w:val="TableContents"/>
              <w:bidi w:val="0"/>
              <w:spacing w:before="0" w:after="283"/>
              <w:jc w:val="left"/>
              <w:rPr/>
            </w:pPr>
            <w:r>
              <w:rPr/>
            </w:r>
          </w:p>
        </w:tc>
      </w:tr>
      <w:tr>
        <w:trPr/>
        <w:tc>
          <w:tcPr>
            <w:tcW w:w="4190" w:type="dxa"/>
            <w:tcBorders/>
            <w:vAlign w:val="center"/>
          </w:tcPr>
          <w:p>
            <w:pPr>
              <w:pStyle w:val="TableContents"/>
              <w:bidi w:val="0"/>
              <w:spacing w:before="0" w:after="283"/>
              <w:jc w:val="left"/>
              <w:rPr/>
            </w:pPr>
            <w:r>
              <w:rPr/>
            </w:r>
          </w:p>
        </w:tc>
        <w:tc>
          <w:tcPr>
            <w:tcW w:w="1295" w:type="dxa"/>
            <w:tcBorders/>
            <w:vAlign w:val="center"/>
          </w:tcPr>
          <w:p>
            <w:pPr>
              <w:pStyle w:val="TableContents"/>
              <w:bidi w:val="0"/>
              <w:spacing w:before="0" w:after="283"/>
              <w:jc w:val="left"/>
              <w:rPr/>
            </w:pPr>
            <w:r>
              <w:rPr/>
            </w:r>
          </w:p>
        </w:tc>
      </w:tr>
      <w:tr>
        <w:trPr/>
        <w:tc>
          <w:tcPr>
            <w:tcW w:w="4190" w:type="dxa"/>
            <w:tcBorders/>
            <w:vAlign w:val="center"/>
          </w:tcPr>
          <w:p>
            <w:pPr>
              <w:pStyle w:val="TableContents"/>
              <w:bidi w:val="0"/>
              <w:spacing w:before="0" w:after="283"/>
              <w:jc w:val="left"/>
              <w:rPr/>
            </w:pPr>
            <w:r>
              <w:rPr>
                <w:rFonts w:ascii="Times New Roman;Times;serif" w:hAnsi="Times New Roman;Times;serif"/>
                <w:sz w:val="20"/>
              </w:rPr>
              <w:t>Holder’s Address:</w:t>
            </w:r>
            <w:r>
              <w:rPr/>
              <w:t> </w:t>
            </w:r>
            <w:r>
              <w:rPr>
                <w:u w:val="single"/>
              </w:rPr>
              <w:t xml:space="preserve">                                            </w:t>
            </w:r>
          </w:p>
        </w:tc>
        <w:tc>
          <w:tcPr>
            <w:tcW w:w="1295" w:type="dxa"/>
            <w:tcBorders/>
            <w:vAlign w:val="center"/>
          </w:tcPr>
          <w:p>
            <w:pPr>
              <w:pStyle w:val="TableContents"/>
              <w:bidi w:val="0"/>
              <w:spacing w:before="0" w:after="283"/>
              <w:jc w:val="left"/>
              <w:rPr/>
            </w:pPr>
            <w:r>
              <w:rPr/>
            </w:r>
          </w:p>
        </w:tc>
      </w:tr>
    </w:tbl>
    <w:p>
      <w:pPr>
        <w:pStyle w:val="TextBody"/>
        <w:bidi w:val="0"/>
        <w:spacing w:lineRule="auto" w:line="300" w:before="0" w:after="0"/>
        <w:jc w:val="left"/>
        <w:rPr/>
      </w:pPr>
      <w:r>
        <w:rPr/>
      </w:r>
    </w:p>
    <w:p>
      <w:pPr>
        <w:pStyle w:val="HorizontalLine"/>
        <w:pBdr>
          <w:bottom w:val="single" w:sz="12" w:space="0" w:color="808080"/>
        </w:pBdr>
        <w:bidi w:val="0"/>
        <w:spacing w:before="200" w:after="200"/>
        <w:jc w:val="left"/>
        <w:rPr/>
      </w:pPr>
      <w:r>
        <w:rPr/>
      </w:r>
    </w:p>
    <w:p>
      <w:pPr>
        <w:pStyle w:val="TextBody"/>
        <w:bidi w:val="0"/>
        <w:spacing w:lineRule="auto" w:line="300" w:before="0" w:after="0"/>
        <w:jc w:val="center"/>
        <w:rPr>
          <w:rFonts w:ascii="Times New Roman;Times;serif" w:hAnsi="Times New Roman;Times;serif"/>
          <w:b/>
          <w:color w:val="000000"/>
          <w:sz w:val="20"/>
          <w:u w:val="single"/>
        </w:rPr>
      </w:pPr>
      <w:r>
        <w:rPr>
          <w:rFonts w:ascii="Times New Roman;Times;serif" w:hAnsi="Times New Roman;Times;serif"/>
          <w:b/>
          <w:color w:val="000000"/>
          <w:sz w:val="20"/>
          <w:u w:val="single"/>
        </w:rPr>
        <w:t>EXHIBIT D</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Form of Additional Warrant</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NEITHER THIS SECURITY NOR THE SECURITIES FOR WHICH THIS SECURITY IS EXERCISABLE HAVE BEEN REGISTERED WITH THE SECURITIES AND EXCHANGE COMMISSION OR THE SECURITIES COMMISSION OF ANY STATE IN RELIANCE UPON AN EXEMPTION FROM REGISTRATION UNDER THE SECURITIES ACT OF 1933, AS AMENDED (THE “SECURITIES ACT”),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  THIS SECURITY AND THE SECURITIES ISSUABLE UPON EXERCISE OF THIS SECURITY MAY BE PLEDGED IN CONNECTION WITH A BONA FIDE MARGIN ACCOUNT OR OTHER LOAN SECURED BY SUCH SECURITIES.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ORDINARY SHARE PURCHASE WARRANT</w:t>
      </w:r>
    </w:p>
    <w:p>
      <w:pPr>
        <w:pStyle w:val="TextBody"/>
        <w:bidi w:val="0"/>
        <w:spacing w:lineRule="auto" w:line="300" w:before="0" w:after="0"/>
        <w:jc w:val="left"/>
        <w:rPr/>
      </w:pPr>
      <w:r>
        <w:rPr/>
      </w:r>
    </w:p>
    <w:p>
      <w:pPr>
        <w:pStyle w:val="TextBody"/>
        <w:bidi w:val="0"/>
        <w:spacing w:lineRule="auto" w:line="300" w:before="0" w:after="0"/>
        <w:jc w:val="center"/>
        <w:rPr>
          <w:color w:val="000000"/>
        </w:rPr>
      </w:pPr>
      <w:r>
        <w:rPr>
          <w:color w:val="000000"/>
        </w:rPr>
        <w:t> </w:t>
      </w:r>
      <w:r>
        <w:rPr>
          <w:rFonts w:ascii="Times New Roman;Times;serif" w:hAnsi="Times New Roman;Times;serif"/>
          <w:b/>
          <w:color w:val="000000"/>
          <w:sz w:val="20"/>
        </w:rPr>
        <w:t>LIFEWARD LTD.</w:t>
      </w:r>
    </w:p>
    <w:p>
      <w:pPr>
        <w:pStyle w:val="TextBody"/>
        <w:bidi w:val="0"/>
        <w:spacing w:lineRule="auto" w:line="300" w:before="0" w:after="0"/>
        <w:jc w:val="left"/>
        <w:rPr>
          <w:color w:val="000000"/>
        </w:rPr>
      </w:pPr>
      <w:r>
        <w:rPr>
          <w:color w:val="000000"/>
        </w:rPr>
        <w:t> </w:t>
      </w:r>
    </w:p>
    <w:tbl>
      <w:tblPr>
        <w:tblW w:w="4810" w:type="dxa"/>
        <w:jc w:val="left"/>
        <w:tblInd w:w="0" w:type="dxa"/>
        <w:tblLayout w:type="fixed"/>
        <w:tblCellMar>
          <w:top w:w="0" w:type="dxa"/>
          <w:left w:w="0" w:type="dxa"/>
          <w:bottom w:w="0" w:type="dxa"/>
          <w:right w:w="0" w:type="dxa"/>
        </w:tblCellMar>
      </w:tblPr>
      <w:tblGrid>
        <w:gridCol w:w="2075"/>
        <w:gridCol w:w="2735"/>
      </w:tblGrid>
      <w:tr>
        <w:trPr/>
        <w:tc>
          <w:tcPr>
            <w:tcW w:w="20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Warrant Shares: _______</w:t>
            </w:r>
          </w:p>
        </w:tc>
        <w:tc>
          <w:tcPr>
            <w:tcW w:w="27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Initial Exercise Date: [________]</w:t>
            </w:r>
          </w:p>
        </w:tc>
      </w:tr>
    </w:tbl>
    <w:p>
      <w:pPr>
        <w:pStyle w:val="TextBody"/>
        <w:bidi w:val="0"/>
        <w:spacing w:lineRule="auto" w:line="300" w:before="0" w:after="0"/>
        <w:jc w:val="left"/>
        <w:rPr>
          <w:color w:val="000000"/>
        </w:rPr>
      </w:pPr>
      <w:r>
        <w:rPr>
          <w:color w:val="000000"/>
        </w:rPr>
        <w:t> </w:t>
      </w:r>
    </w:p>
    <w:p>
      <w:pPr>
        <w:pStyle w:val="TextBody"/>
        <w:bidi w:val="0"/>
        <w:spacing w:lineRule="auto" w:line="24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THIS ORDINARY SHARE PURCHASE WARRANT (the “</w:t>
      </w:r>
      <w:r>
        <w:rPr>
          <w:rFonts w:ascii="Times New Roman;Times;serif" w:hAnsi="Times New Roman;Times;serif"/>
          <w:color w:val="000000"/>
          <w:sz w:val="20"/>
          <w:u w:val="single"/>
        </w:rPr>
        <w:t>Warrant</w:t>
      </w:r>
      <w:r>
        <w:rPr>
          <w:rFonts w:ascii="Times New Roman;Times;serif" w:hAnsi="Times New Roman;Times;serif"/>
          <w:color w:val="000000"/>
          <w:sz w:val="20"/>
        </w:rPr>
        <w:t>”) certifies that, for value received, [  ] or its assigns (the “</w:t>
      </w:r>
      <w:r>
        <w:rPr>
          <w:rFonts w:ascii="Times New Roman;Times;serif" w:hAnsi="Times New Roman;Times;serif"/>
          <w:color w:val="000000"/>
          <w:sz w:val="20"/>
          <w:u w:val="single"/>
        </w:rPr>
        <w:t>Holder</w:t>
      </w:r>
      <w:r>
        <w:rPr>
          <w:rFonts w:ascii="Times New Roman;Times;serif" w:hAnsi="Times New Roman;Times;serif"/>
          <w:color w:val="000000"/>
          <w:sz w:val="20"/>
        </w:rPr>
        <w:t>”) is entitled, upon the terms and subject to the limitations on exercise and the conditions hereinafter set forth, at any time on or after the date set forth above (the “</w:t>
      </w:r>
      <w:r>
        <w:rPr>
          <w:rFonts w:ascii="Times New Roman;Times;serif" w:hAnsi="Times New Roman;Times;serif"/>
          <w:color w:val="000000"/>
          <w:sz w:val="20"/>
          <w:u w:val="single"/>
        </w:rPr>
        <w:t>Initial Exercise Date</w:t>
      </w:r>
      <w:r>
        <w:rPr>
          <w:rFonts w:ascii="Times New Roman;Times;serif" w:hAnsi="Times New Roman;Times;serif"/>
          <w:color w:val="000000"/>
          <w:sz w:val="20"/>
        </w:rPr>
        <w:t>”) and on or prior to 5:00 p.m. (New York City time) on [______]1 (the “</w:t>
      </w:r>
      <w:r>
        <w:rPr>
          <w:rFonts w:ascii="Times New Roman;Times;serif" w:hAnsi="Times New Roman;Times;serif"/>
          <w:color w:val="000000"/>
          <w:sz w:val="20"/>
          <w:u w:val="single"/>
        </w:rPr>
        <w:t>Termination Date</w:t>
      </w:r>
      <w:r>
        <w:rPr>
          <w:rFonts w:ascii="Times New Roman;Times;serif" w:hAnsi="Times New Roman;Times;serif"/>
          <w:color w:val="000000"/>
          <w:sz w:val="20"/>
        </w:rPr>
        <w:t>”) but not thereafter, to subscribe for and purchase from Lifeward Ltd., an Israeli company (the “</w:t>
      </w:r>
      <w:r>
        <w:rPr>
          <w:rFonts w:ascii="Times New Roman;Times;serif" w:hAnsi="Times New Roman;Times;serif"/>
          <w:color w:val="000000"/>
          <w:sz w:val="20"/>
          <w:u w:val="single"/>
        </w:rPr>
        <w:t>Company</w:t>
      </w:r>
      <w:r>
        <w:rPr>
          <w:rFonts w:ascii="Times New Roman;Times;serif" w:hAnsi="Times New Roman;Times;serif"/>
          <w:color w:val="000000"/>
          <w:sz w:val="20"/>
        </w:rPr>
        <w:t>”), up to [  ] (as subject to adjustment hereunder, the “</w:t>
      </w:r>
      <w:r>
        <w:rPr>
          <w:rFonts w:ascii="Times New Roman;Times;serif" w:hAnsi="Times New Roman;Times;serif"/>
          <w:color w:val="000000"/>
          <w:sz w:val="20"/>
          <w:u w:val="single"/>
        </w:rPr>
        <w:t>Warrant Shares</w:t>
      </w:r>
      <w:r>
        <w:rPr>
          <w:rFonts w:ascii="Times New Roman;Times;serif" w:hAnsi="Times New Roman;Times;serif"/>
          <w:color w:val="000000"/>
          <w:sz w:val="20"/>
        </w:rPr>
        <w:t>”) of the Company’s Ordinary Shares.  The purchase price of one Ordinary Share under this Warrant shall be equal to the Exercise Price, as defined in Section 2(b).</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u w:val="single"/>
        </w:rPr>
        <w:t>Section 1</w:t>
      </w:r>
      <w:r>
        <w:rPr>
          <w:rFonts w:ascii="Times New Roman;Times;serif" w:hAnsi="Times New Roman;Times;serif"/>
          <w:color w:val="000000"/>
          <w:sz w:val="20"/>
        </w:rPr>
        <w:t>.          </w:t>
      </w:r>
      <w:r>
        <w:rPr>
          <w:rFonts w:ascii="Times New Roman;Times;serif" w:hAnsi="Times New Roman;Times;serif"/>
          <w:color w:val="000000"/>
          <w:sz w:val="20"/>
          <w:u w:val="single"/>
        </w:rPr>
        <w:t>Definitions</w:t>
      </w:r>
      <w:r>
        <w:rPr>
          <w:rFonts w:ascii="Times New Roman;Times;serif" w:hAnsi="Times New Roman;Times;serif"/>
          <w:color w:val="000000"/>
          <w:sz w:val="20"/>
        </w:rPr>
        <w:t>.  Capitalized terms used and not otherwise defined herein shall have the meanings set forth in that certain Securities Purchase Agreement (the “</w:t>
      </w:r>
      <w:r>
        <w:rPr>
          <w:rFonts w:ascii="Times New Roman;Times;serif" w:hAnsi="Times New Roman;Times;serif"/>
          <w:color w:val="000000"/>
          <w:sz w:val="20"/>
          <w:u w:val="single"/>
        </w:rPr>
        <w:t>Purchase Agreement</w:t>
      </w:r>
      <w:r>
        <w:rPr>
          <w:rFonts w:ascii="Times New Roman;Times;serif" w:hAnsi="Times New Roman;Times;serif"/>
          <w:color w:val="000000"/>
          <w:sz w:val="20"/>
        </w:rPr>
        <w:t>”), dated June 30, 2026, among the Company and the purchasers signatory thereto.</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u w:val="single"/>
        </w:rPr>
        <w:t>Section 2</w:t>
      </w:r>
      <w:r>
        <w:rPr>
          <w:rFonts w:ascii="Times New Roman;Times;serif" w:hAnsi="Times New Roman;Times;serif"/>
          <w:color w:val="000000"/>
          <w:sz w:val="20"/>
        </w:rPr>
        <w:t>.          </w:t>
      </w:r>
      <w:r>
        <w:rPr>
          <w:rFonts w:ascii="Times New Roman;Times;serif" w:hAnsi="Times New Roman;Times;serif"/>
          <w:color w:val="000000"/>
          <w:sz w:val="20"/>
          <w:u w:val="single"/>
        </w:rPr>
        <w:t>Exercise</w:t>
      </w:r>
      <w:r>
        <w:rPr>
          <w:rFonts w:ascii="Times New Roman;Times;serif" w:hAnsi="Times New Roman;Times;serif"/>
          <w:color w:val="000000"/>
          <w:sz w:val="20"/>
        </w:rPr>
        <w:t>.</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a)          </w:t>
      </w:r>
      <w:r>
        <w:rPr>
          <w:rFonts w:ascii="Times New Roman;Times;serif" w:hAnsi="Times New Roman;Times;serif"/>
          <w:color w:val="000000"/>
          <w:sz w:val="20"/>
          <w:u w:val="single"/>
        </w:rPr>
        <w:t>Exercise of Warrant</w:t>
      </w:r>
      <w:r>
        <w:rPr>
          <w:rFonts w:ascii="Times New Roman;Times;serif" w:hAnsi="Times New Roman;Times;serif"/>
          <w:color w:val="000000"/>
          <w:sz w:val="20"/>
        </w:rPr>
        <w:t>.  Exercise of the purchase rights represented by this Warrant may be made, in whole or in part, at any time or times on or after the Initial Exercise Date and on or before the Termination Date by delivery to the Company of a duly executed PDF copy submitted by e-mail (or e-mail attachment) of the Notice of Exercise in the form annexed hereto (the “</w:t>
      </w:r>
      <w:r>
        <w:rPr>
          <w:rFonts w:ascii="Times New Roman;Times;serif" w:hAnsi="Times New Roman;Times;serif"/>
          <w:color w:val="000000"/>
          <w:sz w:val="20"/>
          <w:u w:val="single"/>
        </w:rPr>
        <w:t>Notice of Exercise</w:t>
      </w:r>
      <w:r>
        <w:rPr>
          <w:rFonts w:ascii="Times New Roman;Times;serif" w:hAnsi="Times New Roman;Times;serif"/>
          <w:color w:val="000000"/>
          <w:sz w:val="20"/>
        </w:rPr>
        <w:t xml:space="preserve">”).  Within the earlier of (i) one (1) Trading Day and (ii) the number of Trading Days comprising the Standard Settlement Period (as defined in Section 2(d)(i) herein), in each case following the date of exercise as aforesaid, the Holder shall deliver the aggregate Exercise Price for the Warrant Shares specified in the applicable Notice of Exercise by wire transfer or cashier’s check drawn on a United States bank unless the cashless exercise procedure specified in Section 2(c) below is specified in the applicable Notice of Exercise.  No ink-original Notice of Exercise shall be required, nor shall any medallion guarantee (or other type of guarantee or notarization) of any Notice of Exercise be required.  Notwithstanding anything herein to the contrary, the Holder shall not be required to physically surrender this Warrant to the Company until the Holder has purchased all of the Warrant Shares available hereunder and the Warrant has been exercised in full, in which case, the Holder shall surrender this Warrant to the Company for cancellation as soon as reasonably practicable following the date on which the final Notice of Exercise is delivered to the Company.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 the Company shall maintain records showing the number of Warrant Shares purchased and the date of such purchases.  The Company shall deliver any objection to any Notice of Exercise within one (1) Trading Day of receipt of such notice.  </w:t>
      </w:r>
      <w:r>
        <w:rPr>
          <w:rFonts w:ascii="Times New Roman;Times;serif" w:hAnsi="Times New Roman;Times;serif"/>
          <w:b/>
          <w:color w:val="000000"/>
          <w:sz w:val="20"/>
        </w:rPr>
        <w:t>The Holder and any assignee, by acceptance of this Warrant, acknowledge and agree that, by reason of the provisions of this paragraph, following the purchase of a portion of the Warrant Shares hereunder, the number of Warrant Shares available for purchase hereunder at any given time may be less than the amount stated on the face hereof.</w:t>
      </w:r>
    </w:p>
    <w:p>
      <w:pPr>
        <w:pStyle w:val="TextBody"/>
        <w:bidi w:val="0"/>
        <w:spacing w:lineRule="auto" w:line="300" w:before="0" w:after="0"/>
        <w:jc w:val="left"/>
        <w:rPr/>
      </w:pPr>
      <w:r>
        <w:rPr/>
      </w:r>
    </w:p>
    <w:p>
      <w:pPr>
        <w:pStyle w:val="TextBody"/>
        <w:bidi w:val="0"/>
        <w:spacing w:lineRule="auto" w:line="300"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b)          </w:t>
      </w:r>
      <w:r>
        <w:rPr>
          <w:rFonts w:ascii="Times New Roman;Times;serif" w:hAnsi="Times New Roman;Times;serif"/>
          <w:color w:val="000000"/>
          <w:sz w:val="20"/>
          <w:u w:val="single"/>
        </w:rPr>
        <w:t>Exercise Price</w:t>
      </w:r>
      <w:r>
        <w:rPr>
          <w:rFonts w:ascii="Times New Roman;Times;serif" w:hAnsi="Times New Roman;Times;serif"/>
          <w:color w:val="000000"/>
          <w:sz w:val="20"/>
        </w:rPr>
        <w:t xml:space="preserve">.  The exercise price per Ordinary Share under this Warrant shall be </w:t>
      </w:r>
      <w:r>
        <w:rPr>
          <w:rFonts w:ascii="Times New Roman;Times;serif" w:hAnsi="Times New Roman;Times;serif"/>
          <w:b/>
          <w:color w:val="000000"/>
          <w:sz w:val="20"/>
        </w:rPr>
        <w:t>$5.40</w:t>
      </w:r>
      <w:r>
        <w:rPr>
          <w:rFonts w:ascii="Times New Roman;Times;serif" w:hAnsi="Times New Roman;Times;serif"/>
          <w:color w:val="000000"/>
          <w:sz w:val="20"/>
        </w:rPr>
        <w:t>, subject to adjustment hereunder (the “</w:t>
      </w:r>
      <w:r>
        <w:rPr>
          <w:rFonts w:ascii="Times New Roman;Times;serif" w:hAnsi="Times New Roman;Times;serif"/>
          <w:color w:val="000000"/>
          <w:sz w:val="20"/>
          <w:u w:val="single"/>
        </w:rPr>
        <w:t>Exercise Price</w:t>
      </w:r>
      <w:r>
        <w:rPr>
          <w:rFonts w:ascii="Times New Roman;Times;serif" w:hAnsi="Times New Roman;Times;serif"/>
          <w:color w:val="000000"/>
          <w:sz w:val="20"/>
        </w:rPr>
        <w:t>”).</w:t>
      </w:r>
    </w:p>
    <w:p>
      <w:pPr>
        <w:pStyle w:val="TextBody"/>
        <w:bidi w:val="0"/>
        <w:spacing w:lineRule="auto" w:line="300"/>
        <w:jc w:val="left"/>
        <w:rPr/>
      </w:pPr>
      <w:r>
        <w:rPr/>
      </w:r>
    </w:p>
    <w:p>
      <w:pPr>
        <w:pStyle w:val="HorizontalLine"/>
        <w:pBdr>
          <w:bottom w:val="single" w:sz="12" w:space="0" w:color="808080"/>
        </w:pBdr>
        <w:bidi w:val="0"/>
        <w:spacing w:lineRule="auto" w:line="300"/>
        <w:jc w:val="left"/>
        <w:rPr/>
      </w:pPr>
      <w:r>
        <w:rPr/>
      </w:r>
    </w:p>
    <w:p>
      <w:pPr>
        <w:pStyle w:val="TextBody"/>
        <w:bidi w:val="0"/>
        <w:spacing w:lineRule="auto" w:line="240" w:before="0" w:after="0"/>
        <w:jc w:val="both"/>
        <w:rPr>
          <w:rFonts w:ascii="Times New Roman;Times;serif" w:hAnsi="Times New Roman;Times;serif"/>
          <w:color w:val="000000"/>
          <w:sz w:val="20"/>
        </w:rPr>
      </w:pPr>
      <w:r>
        <w:rPr>
          <w:rFonts w:ascii="Times New Roman;Times;serif" w:hAnsi="Times New Roman;Times;serif"/>
          <w:color w:val="000000"/>
          <w:sz w:val="20"/>
        </w:rPr>
        <w:t>1 Insert the date that is the five (5) year anniversary of the Initial Exercise Date, provided that, if such date is not a Trading Day, insert the immediately following Trading Day.</w:t>
      </w:r>
    </w:p>
    <w:p>
      <w:pPr>
        <w:pStyle w:val="HorizontalLine"/>
        <w:pBdr>
          <w:bottom w:val="single" w:sz="12" w:space="0" w:color="808080"/>
        </w:pBdr>
        <w:bidi w:val="0"/>
        <w:spacing w:lineRule="auto" w:line="300" w:before="200" w:after="200"/>
        <w:jc w:val="left"/>
        <w:rPr/>
      </w:pPr>
      <w:r>
        <w:rPr/>
      </w:r>
    </w:p>
    <w:p>
      <w:pPr>
        <w:pStyle w:val="TextBody"/>
        <w:bidi w:val="0"/>
        <w:spacing w:lineRule="auto" w:line="300"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c)          </w:t>
      </w:r>
      <w:r>
        <w:rPr>
          <w:rFonts w:ascii="Times New Roman;Times;serif" w:hAnsi="Times New Roman;Times;serif"/>
          <w:color w:val="000000"/>
          <w:sz w:val="20"/>
          <w:u w:val="single"/>
        </w:rPr>
        <w:t>Cashless Exercise</w:t>
      </w:r>
      <w:r>
        <w:rPr>
          <w:rFonts w:ascii="Times New Roman;Times;serif" w:hAnsi="Times New Roman;Times;serif"/>
          <w:color w:val="000000"/>
          <w:sz w:val="20"/>
        </w:rPr>
        <w:t>.  At any time, this Warrant may also be exercised, in whole or in part, by means of a “cashless exercise” in which the Holder shall be entitled to receive a number of Warrant Shares equal to the quotient obtained by dividing [(A-B) (X)] by (A), where:</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2070" w:right="0" w:hanging="630"/>
        <w:jc w:val="both"/>
        <w:rPr>
          <w:rFonts w:ascii="Times New Roman;Times;serif" w:hAnsi="Times New Roman;Times;serif"/>
          <w:color w:val="000000"/>
          <w:sz w:val="20"/>
        </w:rPr>
      </w:pPr>
      <w:r>
        <w:rPr>
          <w:rFonts w:ascii="Times New Roman;Times;serif" w:hAnsi="Times New Roman;Times;serif"/>
          <w:color w:val="000000"/>
          <w:sz w:val="20"/>
        </w:rPr>
        <w:t>(A) = as applicable: (i) the VWAP on the Trading Day immediately preceding the date of the applicable Notice of Exercise if such Notice of Exercise is (1) both executed and delivered pursuant to Section 2(a) hereof on a day that is not a Trading Day or (2) both executed and delivered pursuant to Section 2(a) hereof on a Trading Day prior to the opening of “regular trading hours” (as defined in Rule 600(b) of Regulation NMS promulgated under the federal securities laws) on such Trading Day, (ii) at the option of the Holder, either (y) the VWAP on the Trading Day immediately preceding the date of the applicable Notice of Exercise or (z) the Bid Price of the Ordinary Shares on the principal Trading Market as reported by Bloomberg L.P. (“</w:t>
      </w:r>
      <w:r>
        <w:rPr>
          <w:rFonts w:ascii="Times New Roman;Times;serif" w:hAnsi="Times New Roman;Times;serif"/>
          <w:color w:val="000000"/>
          <w:sz w:val="20"/>
          <w:u w:val="single"/>
        </w:rPr>
        <w:t>Bloomberg</w:t>
      </w:r>
      <w:r>
        <w:rPr>
          <w:rFonts w:ascii="Times New Roman;Times;serif" w:hAnsi="Times New Roman;Times;serif"/>
          <w:color w:val="000000"/>
          <w:sz w:val="20"/>
        </w:rPr>
        <w:t>”) as of the time of the Holder’s execution of the applicable Notice of Exercise if such Notice of Exercise is executed during “regular trading hours” on a Trading Day and is delivered within two (2) hours thereafter (including until two (2) hours after the close of “regular trading hours” on a Trading Day) pursuant to Section 2(a) hereof or (iii) the VWAP on the date of the applicable Notice of Exercise if the date of such Notice of Exercise is a Trading Day and such Notice of Exercise is both executed and delivered pursuant to Section 2(a) hereof after the close of “regular trading hours” on such Trading Day;</w:t>
      </w:r>
    </w:p>
    <w:p>
      <w:pPr>
        <w:pStyle w:val="TextBody"/>
        <w:bidi w:val="0"/>
        <w:spacing w:lineRule="auto" w:line="300" w:before="0" w:after="0"/>
        <w:ind w:left="2070" w:right="0" w:hanging="630"/>
        <w:jc w:val="both"/>
        <w:rPr>
          <w:rFonts w:ascii="Times New Roman;Times;serif" w:hAnsi="Times New Roman;Times;serif"/>
          <w:sz w:val="20"/>
        </w:rPr>
      </w:pPr>
      <w:r>
        <w:rPr>
          <w:rFonts w:ascii="Times New Roman;Times;serif" w:hAnsi="Times New Roman;Times;serif"/>
          <w:sz w:val="20"/>
        </w:rPr>
      </w:r>
    </w:p>
    <w:p>
      <w:pPr>
        <w:pStyle w:val="TextBody"/>
        <w:bidi w:val="0"/>
        <w:spacing w:lineRule="auto" w:line="300" w:before="0" w:after="0"/>
        <w:ind w:left="2160" w:right="0" w:hanging="720"/>
        <w:jc w:val="both"/>
        <w:rPr>
          <w:rFonts w:ascii="Times New Roman;Times;serif" w:hAnsi="Times New Roman;Times;serif"/>
          <w:color w:val="000000"/>
          <w:sz w:val="20"/>
        </w:rPr>
      </w:pPr>
      <w:r>
        <w:rPr>
          <w:rFonts w:ascii="Times New Roman;Times;serif" w:hAnsi="Times New Roman;Times;serif"/>
          <w:color w:val="000000"/>
          <w:sz w:val="20"/>
        </w:rPr>
        <w:t>(B) = the Exercise Price of this Warrant, as adjusted hereunder; and</w:t>
      </w:r>
    </w:p>
    <w:p>
      <w:pPr>
        <w:pStyle w:val="TextBody"/>
        <w:bidi w:val="0"/>
        <w:spacing w:lineRule="auto" w:line="300" w:before="0" w:after="0"/>
        <w:jc w:val="left"/>
        <w:rPr/>
      </w:pPr>
      <w:r>
        <w:rPr/>
      </w:r>
    </w:p>
    <w:p>
      <w:pPr>
        <w:pStyle w:val="TextBody"/>
        <w:bidi w:val="0"/>
        <w:spacing w:lineRule="auto" w:line="300" w:before="0" w:after="0"/>
        <w:ind w:left="2070" w:right="0" w:hanging="630"/>
        <w:jc w:val="both"/>
        <w:rPr>
          <w:rFonts w:ascii="Times New Roman;Times;serif" w:hAnsi="Times New Roman;Times;serif"/>
          <w:color w:val="000000"/>
          <w:sz w:val="20"/>
        </w:rPr>
      </w:pPr>
      <w:r>
        <w:rPr>
          <w:rFonts w:ascii="Times New Roman;Times;serif" w:hAnsi="Times New Roman;Times;serif"/>
          <w:color w:val="000000"/>
          <w:sz w:val="20"/>
        </w:rPr>
        <w:t>(X) = the number of Warrant Shares that would be issuable upon exercise of this Warrant in accordance with the terms of this Warrant if such exercise were by means of a cash exercise rather than a cashless exercise.</w:t>
      </w:r>
    </w:p>
    <w:p>
      <w:pPr>
        <w:pStyle w:val="TextBody"/>
        <w:bidi w:val="0"/>
        <w:spacing w:lineRule="auto" w:line="300" w:before="0" w:after="0"/>
        <w:jc w:val="left"/>
        <w:rPr/>
      </w:pPr>
      <w:r>
        <w:rPr/>
      </w:r>
    </w:p>
    <w:p>
      <w:pPr>
        <w:pStyle w:val="TextBody"/>
        <w:bidi w:val="0"/>
        <w:spacing w:lineRule="auto" w:line="300" w:before="0" w:after="0"/>
        <w:ind w:left="720" w:right="0" w:firstLine="720"/>
        <w:jc w:val="both"/>
        <w:rPr>
          <w:color w:val="000000"/>
        </w:rPr>
      </w:pPr>
      <w:r>
        <w:rPr>
          <w:color w:val="000000"/>
        </w:rPr>
        <w:t>“</w:t>
      </w:r>
      <w:r>
        <w:rPr>
          <w:rFonts w:ascii="Times New Roman;Times;serif" w:hAnsi="Times New Roman;Times;serif"/>
          <w:color w:val="000000"/>
          <w:sz w:val="20"/>
          <w:u w:val="single"/>
        </w:rPr>
        <w:t>Bid Price</w:t>
      </w:r>
      <w:r>
        <w:rPr>
          <w:rFonts w:ascii="Times New Roman;Times;serif" w:hAnsi="Times New Roman;Times;serif"/>
          <w:color w:val="000000"/>
          <w:sz w:val="20"/>
        </w:rPr>
        <w:t>” means, for any date, the price determined by the first of the following clauses that applies: (a) if the Ordinary Shares are then listed or quoted on a Trading Market, the bid price of the Ordinary Shares for the time in question (or the nearest preceding date) on the Trading Market on which the Ordinary Shares are then listed or quoted as reported by Bloomberg (based on a Trading Day from 9:30 a.m. (New York City time) to 4:02 p.m. (New York City time)), (b)  if OTCQB Venture Market (“</w:t>
      </w:r>
      <w:r>
        <w:rPr>
          <w:rFonts w:ascii="Times New Roman;Times;serif" w:hAnsi="Times New Roman;Times;serif"/>
          <w:color w:val="000000"/>
          <w:sz w:val="20"/>
          <w:u w:val="single"/>
        </w:rPr>
        <w:t>OTCQB</w:t>
      </w:r>
      <w:r>
        <w:rPr>
          <w:rFonts w:ascii="Times New Roman;Times;serif" w:hAnsi="Times New Roman;Times;serif"/>
          <w:color w:val="000000"/>
          <w:sz w:val="20"/>
        </w:rPr>
        <w:t>”) or the OTCQX Best Market (“</w:t>
      </w:r>
      <w:r>
        <w:rPr>
          <w:rFonts w:ascii="Times New Roman;Times;serif" w:hAnsi="Times New Roman;Times;serif"/>
          <w:color w:val="000000"/>
          <w:sz w:val="20"/>
          <w:u w:val="single"/>
        </w:rPr>
        <w:t>OTCQX</w:t>
      </w:r>
      <w:r>
        <w:rPr>
          <w:rFonts w:ascii="Times New Roman;Times;serif" w:hAnsi="Times New Roman;Times;serif"/>
          <w:color w:val="000000"/>
          <w:sz w:val="20"/>
        </w:rPr>
        <w:t>”) is not a Trading Market, the volume weighted average price of the Ordinary Shares for such date (or the nearest preceding date) on OTCQB or OTCQX as applicable, (c) if the Ordinary Shares are not then listed or quoted for trading on OTCQB or OTCQX and if prices for the Ordinary Shares are then reported on the Pink Open Market (“</w:t>
      </w:r>
      <w:r>
        <w:rPr>
          <w:rFonts w:ascii="Times New Roman;Times;serif" w:hAnsi="Times New Roman;Times;serif"/>
          <w:color w:val="000000"/>
          <w:sz w:val="20"/>
          <w:u w:val="single"/>
        </w:rPr>
        <w:t>Pink Market</w:t>
      </w:r>
      <w:r>
        <w:rPr>
          <w:rFonts w:ascii="Times New Roman;Times;serif" w:hAnsi="Times New Roman;Times;serif"/>
          <w:color w:val="000000"/>
          <w:sz w:val="20"/>
        </w:rPr>
        <w:t>”) operated by the OTC Markets, Inc. (or a similar organization or agency succeeding to its functions of reporting prices), the most recent bid price per Ordinary Share so reported, or (d) in all other cases, the fair market value of an Ordinary Share as determined by an independent appraiser selected in good faith by the Holders of a majority in interest of the Securities then outstanding and reasonably acceptable to the Company, the fees and expenses of which shall be paid by the Company.</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color w:val="000000"/>
        </w:rPr>
      </w:pPr>
      <w:r>
        <w:rPr>
          <w:color w:val="000000"/>
        </w:rPr>
        <w:t>“</w:t>
      </w:r>
      <w:r>
        <w:rPr>
          <w:rFonts w:ascii="Times New Roman;Times;serif" w:hAnsi="Times New Roman;Times;serif"/>
          <w:color w:val="000000"/>
          <w:sz w:val="20"/>
          <w:u w:val="single"/>
        </w:rPr>
        <w:t>VWAP</w:t>
      </w:r>
      <w:r>
        <w:rPr>
          <w:rFonts w:ascii="Times New Roman;Times;serif" w:hAnsi="Times New Roman;Times;serif"/>
          <w:color w:val="000000"/>
          <w:sz w:val="20"/>
        </w:rPr>
        <w:t>” means, for any date, the price determined by the first of the following clauses that applies: (a) if the Ordinary Shares are then listed or quoted on a Trading Market, the daily volume weighted average price of the Ordinary Shares for such date (or the nearest preceding date) on the Trading Market on which the Ordinary Shares are then listed or quoted as reported by Bloomberg (based on a Trading Day from 9:30 a.m. (New York City time) to 4:02 p.m. (New York City time)), (b)  if OTCQB or OTCQX is not a Trading Market, the volume weighted average price of the Ordinary Shares for such date (or the nearest preceding date) on OTCQB or OTCQX as applicable, (c) if the Ordinary Shares are not then listed or quoted for trading on OTCQB or OTCQX and if prices for the Ordinary Shares are then reported on the Pink Market operated by the OTC Markets, Inc. (or a similar organization or agency succeeding to its functions of reporting prices), the most recent bid price per Ordinary Share so reported, or (d) in all other cases, the fair market value of an Ordinary Share as determined by an independent appraiser selected in good faith by the Holders of a majority in interest of the Securities then outstanding and reasonably acceptable to the Company, the fees and expenses of which shall be paid by the Company.</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If Warrant Shares are issued in such a cashless exercise, the parties acknowledge and agree that in accordance with Section 3(a)(9) of the Securities Act, the holding period of the Warrant Shares being issued may be tacked on to the holding period of this Warrant.  The Company agrees not to take any position contrary to this Section 2(c).</w:t>
      </w:r>
    </w:p>
    <w:p>
      <w:pPr>
        <w:pStyle w:val="TextBody"/>
        <w:bidi w:val="0"/>
        <w:spacing w:lineRule="auto" w:line="300"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D - 2</w:t>
      </w:r>
    </w:p>
    <w:p>
      <w:pPr>
        <w:pStyle w:val="HorizontalLine"/>
        <w:pBdr>
          <w:bottom w:val="single" w:sz="12" w:space="0" w:color="808080"/>
        </w:pBdr>
        <w:bidi w:val="0"/>
        <w:spacing w:lineRule="auto" w:line="300" w:before="200" w:after="200"/>
        <w:jc w:val="left"/>
        <w:rPr/>
      </w:pPr>
      <w:r>
        <w:rPr/>
      </w:r>
    </w:p>
    <w:tbl>
      <w:tblPr>
        <w:tblW w:w="2133" w:type="dxa"/>
        <w:jc w:val="left"/>
        <w:tblInd w:w="0" w:type="dxa"/>
        <w:tblLayout w:type="fixed"/>
        <w:tblCellMar>
          <w:top w:w="0" w:type="dxa"/>
          <w:left w:w="0" w:type="dxa"/>
          <w:bottom w:w="0" w:type="dxa"/>
          <w:right w:w="0" w:type="dxa"/>
        </w:tblCellMar>
      </w:tblPr>
      <w:tblGrid>
        <w:gridCol w:w="38"/>
        <w:gridCol w:w="185"/>
        <w:gridCol w:w="1910"/>
      </w:tblGrid>
      <w:tr>
        <w:trPr/>
        <w:tc>
          <w:tcPr>
            <w:tcW w:w="38" w:type="dxa"/>
            <w:tcBorders/>
            <w:vAlign w:val="center"/>
          </w:tcPr>
          <w:p>
            <w:pPr>
              <w:pStyle w:val="TableContents"/>
              <w:bidi w:val="0"/>
              <w:spacing w:before="0" w:after="283"/>
              <w:jc w:val="left"/>
              <w:rPr/>
            </w:pPr>
            <w:r>
              <w:rPr/>
            </w:r>
          </w:p>
        </w:tc>
        <w:tc>
          <w:tcPr>
            <w:tcW w:w="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191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u w:val="single"/>
              </w:rPr>
              <w:t>Mechanics of Exercise</w:t>
            </w:r>
            <w:r>
              <w:rPr>
                <w:rFonts w:ascii="Times New Roman;Times;serif" w:hAnsi="Times New Roman;Times;serif"/>
                <w:sz w:val="20"/>
              </w:rPr>
              <w:t>.</w:t>
            </w:r>
          </w:p>
        </w:tc>
      </w:tr>
    </w:tbl>
    <w:p>
      <w:pPr>
        <w:pStyle w:val="TextBody"/>
        <w:bidi w:val="0"/>
        <w:spacing w:lineRule="auto" w:line="300" w:before="0" w:after="0"/>
        <w:jc w:val="left"/>
        <w:rPr>
          <w:color w:val="000000"/>
        </w:rPr>
      </w:pPr>
      <w:r>
        <w:rPr>
          <w:color w:val="000000"/>
        </w:rPr>
        <w:t> </w:t>
      </w:r>
    </w:p>
    <w:p>
      <w:pPr>
        <w:pStyle w:val="TextBody"/>
        <w:bidi w:val="0"/>
        <w:spacing w:lineRule="auto" w:line="240" w:before="0" w:after="0"/>
        <w:ind w:left="2160" w:right="0" w:firstLine="720"/>
        <w:jc w:val="both"/>
        <w:rPr>
          <w:rFonts w:ascii="Times New Roman;Times;serif" w:hAnsi="Times New Roman;Times;serif"/>
          <w:color w:val="000000"/>
          <w:sz w:val="20"/>
        </w:rPr>
      </w:pPr>
      <w:r>
        <w:rPr>
          <w:rFonts w:ascii="Times New Roman;Times;serif" w:hAnsi="Times New Roman;Times;serif"/>
          <w:color w:val="000000"/>
          <w:sz w:val="20"/>
        </w:rPr>
        <w:t>i.          </w:t>
      </w:r>
      <w:r>
        <w:rPr>
          <w:rFonts w:ascii="Times New Roman;Times;serif" w:hAnsi="Times New Roman;Times;serif"/>
          <w:color w:val="000000"/>
          <w:sz w:val="20"/>
          <w:u w:val="single"/>
        </w:rPr>
        <w:t>Delivery of Warrant Shares Upon Exercise</w:t>
      </w:r>
      <w:r>
        <w:rPr>
          <w:rFonts w:ascii="Times New Roman;Times;serif" w:hAnsi="Times New Roman;Times;serif"/>
          <w:color w:val="000000"/>
          <w:sz w:val="20"/>
        </w:rPr>
        <w:t>.  The Company shall cause the Warrant Shares purchased hereunder to be transmitted by the Transfer Agent to the Holder by crediting the account of the Holder’s or its designee’s balance account with The Depository Trust Company through its Deposit or Withdrawal at Custodian system (“</w:t>
      </w:r>
      <w:r>
        <w:rPr>
          <w:rFonts w:ascii="Times New Roman;Times;serif" w:hAnsi="Times New Roman;Times;serif"/>
          <w:color w:val="000000"/>
          <w:sz w:val="20"/>
          <w:u w:val="single"/>
        </w:rPr>
        <w:t>DWAC</w:t>
      </w:r>
      <w:r>
        <w:rPr>
          <w:rFonts w:ascii="Times New Roman;Times;serif" w:hAnsi="Times New Roman;Times;serif"/>
          <w:color w:val="000000"/>
          <w:sz w:val="20"/>
        </w:rPr>
        <w:t>”) if the Company is then a participant in such system and either (A) there is an effective registration statement permitting the issuance of the Warrant Shares to or resale of the Warrant Shares by the Holder or (B) the Warrant Shares are eligible for resale by the Holder without volume or manner-of-sale limitations pursuant to Rule 144 (assuming cashless exercise of the Warrants), and otherwise by physical delivery of a certificate or a book-entry certificate, registered in the Company’s share register in the name of the Holder or its designee, for the number of Warrant Shares to which the Holder is entitled pursuant to such exercise to the address specified by the Holder in the Notice of Exercise by the date that is the earlier of (i) one (1) Trading Day and (ii) the number of Trading Days comprising the Standard Settlement Period, in each case after the delivery to the Company of the Notice of Exercise (such date, the “</w:t>
      </w:r>
      <w:r>
        <w:rPr>
          <w:rFonts w:ascii="Times New Roman;Times;serif" w:hAnsi="Times New Roman;Times;serif"/>
          <w:color w:val="000000"/>
          <w:sz w:val="20"/>
          <w:u w:val="single"/>
        </w:rPr>
        <w:t>Warrant Share Delivery Date</w:t>
      </w:r>
      <w:r>
        <w:rPr>
          <w:rFonts w:ascii="Times New Roman;Times;serif" w:hAnsi="Times New Roman;Times;serif"/>
          <w:color w:val="000000"/>
          <w:sz w:val="20"/>
        </w:rPr>
        <w:t>”).  Upon delivery of the Notice of Exercise, the Holder shall be deemed for all corporate purposes to have become the holder of record of the Warrant Shares with respect to which this Warrant has been exercised, irrespective of the date of delivery of the Warrant Shares, provided that payment of the aggregate Exercise Price (other than in the case of a cashless exercise) is received within the earlier of (i) one (1) Trading Day and (ii) the number of Trading Days comprising the Standard Settlement Period, in each case after the delivery to the Company of the Notice of Exercise.  If the Company fails for any reason to deliver to the Holder the Warrant Shares subject to a Notice of Exercise by the Warrant Share Delivery Date, the Company shall pay to the Holder, in cash, as liquidated damages and not as a penalty, for each $1,000 of Warrant Shares subject to such exercise (based on the VWAP of the Ordinary Shares on the date of the applicable Notice of Exercise), $10 per Trading Day (increasing to $20 per Trading Day on the third (3rd) Trading Day after the Warrant Share Delivery Date) for each Trading Day after such Warrant Share Delivery Date until such Warrant Shares are delivered or Holder rescinds such exercise.  The Company agrees to maintain a transfer agent that is a participant in the FAST program so long as this Warrant remains outstanding and exercisable.  As used herein, “</w:t>
      </w:r>
      <w:r>
        <w:rPr>
          <w:rFonts w:ascii="Times New Roman;Times;serif" w:hAnsi="Times New Roman;Times;serif"/>
          <w:color w:val="000000"/>
          <w:sz w:val="20"/>
          <w:u w:val="single"/>
        </w:rPr>
        <w:t>Standard Settlement Period</w:t>
      </w:r>
      <w:r>
        <w:rPr>
          <w:rFonts w:ascii="Times New Roman;Times;serif" w:hAnsi="Times New Roman;Times;serif"/>
          <w:color w:val="000000"/>
          <w:sz w:val="20"/>
        </w:rPr>
        <w:t>” means the standard settlement period, expressed in a number of Trading Days, on the Company’s primary Trading Market with respect to the Ordinary Shares as in effect on the date of delivery of the Notice of Exercise.</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2160" w:right="0" w:firstLine="720"/>
        <w:jc w:val="both"/>
        <w:rPr>
          <w:rFonts w:ascii="Times New Roman;Times;serif" w:hAnsi="Times New Roman;Times;serif"/>
          <w:color w:val="000000"/>
          <w:sz w:val="20"/>
        </w:rPr>
      </w:pPr>
      <w:r>
        <w:rPr>
          <w:rFonts w:ascii="Times New Roman;Times;serif" w:hAnsi="Times New Roman;Times;serif"/>
          <w:color w:val="000000"/>
          <w:sz w:val="20"/>
        </w:rPr>
        <w:t>ii.          </w:t>
      </w:r>
      <w:r>
        <w:rPr>
          <w:rFonts w:ascii="Times New Roman;Times;serif" w:hAnsi="Times New Roman;Times;serif"/>
          <w:color w:val="000000"/>
          <w:sz w:val="20"/>
          <w:u w:val="single"/>
        </w:rPr>
        <w:t>Delivery of New Warrants Upon Exercise</w:t>
      </w:r>
      <w:r>
        <w:rPr>
          <w:rFonts w:ascii="Times New Roman;Times;serif" w:hAnsi="Times New Roman;Times;serif"/>
          <w:color w:val="000000"/>
          <w:sz w:val="20"/>
        </w:rPr>
        <w:t>.  If this Warrant shall have been exercised in part, the Company shall, at the request of a Holder and upon surrender of this Warrant certificate, at the time of delivery of the Warrant Shares, deliver to the Holder a new Warrant evidencing the rights of the Holder to purchase the unpurchased Warrant Shares called for by this Warrant, which new Warrant shall in all other respects be identical with this Warrant.</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2160" w:right="0" w:firstLine="720"/>
        <w:jc w:val="both"/>
        <w:rPr>
          <w:rFonts w:ascii="Times New Roman;Times;serif" w:hAnsi="Times New Roman;Times;serif"/>
          <w:color w:val="000000"/>
          <w:sz w:val="20"/>
        </w:rPr>
      </w:pPr>
      <w:r>
        <w:rPr>
          <w:rFonts w:ascii="Times New Roman;Times;serif" w:hAnsi="Times New Roman;Times;serif"/>
          <w:color w:val="000000"/>
          <w:sz w:val="20"/>
        </w:rPr>
        <w:t>iii.          </w:t>
      </w:r>
      <w:r>
        <w:rPr>
          <w:rFonts w:ascii="Times New Roman;Times;serif" w:hAnsi="Times New Roman;Times;serif"/>
          <w:color w:val="000000"/>
          <w:sz w:val="20"/>
          <w:u w:val="single"/>
        </w:rPr>
        <w:t>Rescission Rights</w:t>
      </w:r>
      <w:r>
        <w:rPr>
          <w:rFonts w:ascii="Times New Roman;Times;serif" w:hAnsi="Times New Roman;Times;serif"/>
          <w:color w:val="000000"/>
          <w:sz w:val="20"/>
        </w:rPr>
        <w:t>.  If the Company fails to cause the Transfer Agent to transmit to the Holder the Warrant Shares pursuant to Section 2(d)(i) by the Warrant Share Delivery Date, then the Holder will have the right to rescind such exercise.</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2160" w:right="0" w:firstLine="720"/>
        <w:jc w:val="both"/>
        <w:rPr>
          <w:rFonts w:ascii="Times New Roman;Times;serif" w:hAnsi="Times New Roman;Times;serif"/>
          <w:color w:val="000000"/>
          <w:sz w:val="20"/>
        </w:rPr>
      </w:pPr>
      <w:r>
        <w:rPr>
          <w:rFonts w:ascii="Times New Roman;Times;serif" w:hAnsi="Times New Roman;Times;serif"/>
          <w:color w:val="000000"/>
          <w:sz w:val="20"/>
        </w:rPr>
        <w:t>iv.          </w:t>
      </w:r>
      <w:r>
        <w:rPr>
          <w:rFonts w:ascii="Times New Roman;Times;serif" w:hAnsi="Times New Roman;Times;serif"/>
          <w:color w:val="000000"/>
          <w:sz w:val="20"/>
          <w:u w:val="single"/>
        </w:rPr>
        <w:t>Compensation for Buy-In on Failure to Timely Deliver Warrant Shares Upon Exercise</w:t>
      </w:r>
      <w:r>
        <w:rPr>
          <w:rFonts w:ascii="Times New Roman;Times;serif" w:hAnsi="Times New Roman;Times;serif"/>
          <w:color w:val="000000"/>
          <w:sz w:val="20"/>
        </w:rPr>
        <w:t>.  In addition to any other rights available to the Holder, if the Company fails to cause the Transfer Agent to transmit to the Holder the Warrant Shares in accordance with the provisions of Section 2(d)(i) above pursuant to an exercise on or before the Warrant Share Delivery Date, and if after such date the Holder is required by its broker to purchase (in an open market transaction or otherwise) or the Holder’s brokerage firm otherwise purchases, Ordinary Shares to deliver in satisfaction of a sale by the Holder of the Warrant Shares which the Holder anticipated receiving upon such exercise (a “</w:t>
      </w:r>
      <w:r>
        <w:rPr>
          <w:rFonts w:ascii="Times New Roman;Times;serif" w:hAnsi="Times New Roman;Times;serif"/>
          <w:color w:val="000000"/>
          <w:sz w:val="20"/>
          <w:u w:val="single"/>
        </w:rPr>
        <w:t>Buy-In</w:t>
      </w:r>
      <w:r>
        <w:rPr>
          <w:rFonts w:ascii="Times New Roman;Times;serif" w:hAnsi="Times New Roman;Times;serif"/>
          <w:color w:val="000000"/>
          <w:sz w:val="20"/>
        </w:rPr>
        <w:t>”), then the Company shall (A) pay in cash to the Holder the amount, if any, by which (x) the Holder’s total purchase price (including brokerage commissions, if any) for the Ordinary Shares so purchased exceeds (y) the amount obtained by multiplying (1) the number of Warrant Shares that the Company was required to deliver to the Holder in connection with the exercise at issue times (2) the price at which the sell order giving rise to such purchase obligation was executed, and (B) at the option of the Holder, either reinstate the portion of the Warrant and equivalent number of Warrant Shares for which such exercise was not honored (in which case such exercise shall be deemed rescinded) or deliver to the Holder the number of Ordinary Shares that would have been issued had the Company timely complied with its exercise and delivery obligations hereunder.  For example, if the Holder purchases Ordinary Shares having a total purchase price of $11,000 to cover a Buy-In with respect to an attempted exercise of Ordinary Shares with an aggregate sale price giving rise to such purchase obligation of $10,000, under clause (A) of the immediately preceding sentence the Company shall be required to pay the Holder $1,000. The Holder shall provide the Company written notice indicating the amounts payable to the Holder in respect of the Buy-In and, upon request of the Company, evidence of the amount of such loss.  Nothing herein shall limit a Holder’s right to pursue any other remedies available to it hereunder, at law or in equity including, without limitation, a decree of specific performance and/or injunctive relief with respect to the Company’s failure to timely deliver Ordinary Shares upon exercise of the Warrant as required pursuant to the terms hereof.</w:t>
      </w:r>
    </w:p>
    <w:p>
      <w:pPr>
        <w:pStyle w:val="TextBody"/>
        <w:bidi w:val="0"/>
        <w:spacing w:lineRule="auto" w:line="300"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D - 3</w:t>
      </w:r>
    </w:p>
    <w:p>
      <w:pPr>
        <w:pStyle w:val="HorizontalLine"/>
        <w:pBdr>
          <w:bottom w:val="single" w:sz="12" w:space="0" w:color="808080"/>
        </w:pBdr>
        <w:bidi w:val="0"/>
        <w:spacing w:lineRule="auto" w:line="300" w:before="200" w:after="200"/>
        <w:jc w:val="left"/>
        <w:rPr/>
      </w:pPr>
      <w:r>
        <w:rPr/>
      </w:r>
    </w:p>
    <w:p>
      <w:pPr>
        <w:pStyle w:val="TextBody"/>
        <w:bidi w:val="0"/>
        <w:spacing w:lineRule="auto" w:line="300" w:before="0" w:after="0"/>
        <w:ind w:left="2160" w:right="0" w:firstLine="720"/>
        <w:jc w:val="both"/>
        <w:rPr>
          <w:rFonts w:ascii="Times New Roman;Times;serif" w:hAnsi="Times New Roman;Times;serif"/>
          <w:color w:val="000000"/>
          <w:sz w:val="20"/>
        </w:rPr>
      </w:pPr>
      <w:r>
        <w:rPr>
          <w:rFonts w:ascii="Times New Roman;Times;serif" w:hAnsi="Times New Roman;Times;serif"/>
          <w:color w:val="000000"/>
          <w:sz w:val="20"/>
        </w:rPr>
        <w:t>v.          </w:t>
      </w:r>
      <w:r>
        <w:rPr>
          <w:rFonts w:ascii="Times New Roman;Times;serif" w:hAnsi="Times New Roman;Times;serif"/>
          <w:color w:val="000000"/>
          <w:sz w:val="20"/>
          <w:u w:val="single"/>
        </w:rPr>
        <w:t>No Fractional Shares or Scrip</w:t>
      </w:r>
      <w:r>
        <w:rPr>
          <w:rFonts w:ascii="Times New Roman;Times;serif" w:hAnsi="Times New Roman;Times;serif"/>
          <w:color w:val="000000"/>
          <w:sz w:val="20"/>
        </w:rPr>
        <w:t>.  No fractional shares or scrip representing fractional shares shall be issued upon the exercise of this Warrant.  As to any fraction of a share which the Holder would otherwise be entitled to purchase upon such exercise, the Company shall, at its election, either pay a cash adjustment in respect of such final fraction in an amount equal to such fraction multiplied by the Exercise Price or round down to the next whole share.</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2160" w:right="0" w:firstLine="720"/>
        <w:jc w:val="both"/>
        <w:rPr>
          <w:rFonts w:ascii="Times New Roman;Times;serif" w:hAnsi="Times New Roman;Times;serif"/>
          <w:color w:val="000000"/>
          <w:sz w:val="20"/>
        </w:rPr>
      </w:pPr>
      <w:r>
        <w:rPr>
          <w:rFonts w:ascii="Times New Roman;Times;serif" w:hAnsi="Times New Roman;Times;serif"/>
          <w:color w:val="000000"/>
          <w:sz w:val="20"/>
        </w:rPr>
        <w:t>vi.          </w:t>
      </w:r>
      <w:r>
        <w:rPr>
          <w:rFonts w:ascii="Times New Roman;Times;serif" w:hAnsi="Times New Roman;Times;serif"/>
          <w:color w:val="000000"/>
          <w:sz w:val="20"/>
          <w:u w:val="single"/>
        </w:rPr>
        <w:t>Charges, Taxes and Expenses</w:t>
      </w:r>
      <w:r>
        <w:rPr>
          <w:rFonts w:ascii="Times New Roman;Times;serif" w:hAnsi="Times New Roman;Times;serif"/>
          <w:color w:val="000000"/>
          <w:sz w:val="20"/>
        </w:rPr>
        <w:t xml:space="preserve">.  Issuance of Warrant Shares shall be made without charge to the Holder for any issue or transfer tax or other incidental expense in respect of the issuance of such Warrant Shares, all of which taxes and expenses shall be paid by the Company, and such Warrant Shares shall be issued in the name of the Holder or in such name or names as may be directed by the Holder;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however</w:t>
      </w:r>
      <w:r>
        <w:rPr>
          <w:rFonts w:ascii="Times New Roman;Times;serif" w:hAnsi="Times New Roman;Times;serif"/>
          <w:color w:val="000000"/>
          <w:sz w:val="20"/>
        </w:rPr>
        <w:t>, that in the event that Warrant Shares are to be issued in a name other than the name of the Holder, this Warrant when surrendered for exercise shall be accompanied by the Assignment Form attached hereto duly executed by the Holder and the Company may require, as a condition thereto, the payment of a sum sufficient to reimburse it for any transfer tax incidental thereto.  The Company shall pay all Transfer Agent fees required for same-day processing of any Notice of Exercise and all fees to the Depository Trust Company (or another established clearing corporation performing similar functions) required for same-day electronic delivery of the Warrant Shares.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2160" w:right="0" w:firstLine="720"/>
        <w:jc w:val="both"/>
        <w:rPr>
          <w:rFonts w:ascii="Times New Roman;Times;serif" w:hAnsi="Times New Roman;Times;serif"/>
          <w:color w:val="000000"/>
          <w:sz w:val="20"/>
        </w:rPr>
      </w:pPr>
      <w:r>
        <w:rPr>
          <w:rFonts w:ascii="Times New Roman;Times;serif" w:hAnsi="Times New Roman;Times;serif"/>
          <w:color w:val="000000"/>
          <w:sz w:val="20"/>
        </w:rPr>
        <w:t>vii.          </w:t>
      </w:r>
      <w:r>
        <w:rPr>
          <w:rFonts w:ascii="Times New Roman;Times;serif" w:hAnsi="Times New Roman;Times;serif"/>
          <w:color w:val="000000"/>
          <w:sz w:val="20"/>
          <w:u w:val="single"/>
        </w:rPr>
        <w:t>Closing of Books</w:t>
      </w:r>
      <w:r>
        <w:rPr>
          <w:rFonts w:ascii="Times New Roman;Times;serif" w:hAnsi="Times New Roman;Times;serif"/>
          <w:color w:val="000000"/>
          <w:sz w:val="20"/>
        </w:rPr>
        <w:t>.  The Company will not close its shareholder books or records in any manner which prevents the timely exercise of this Warrant, pursuant to the terms hereof.</w:t>
      </w:r>
    </w:p>
    <w:p>
      <w:pPr>
        <w:pStyle w:val="TextBody"/>
        <w:bidi w:val="0"/>
        <w:spacing w:lineRule="auto" w:line="300" w:before="0" w:after="0"/>
        <w:jc w:val="left"/>
        <w:rPr>
          <w:color w:val="000000"/>
        </w:rPr>
      </w:pPr>
      <w:r>
        <w:rPr>
          <w:color w:val="000000"/>
        </w:rPr>
        <w:t> </w:t>
      </w:r>
    </w:p>
    <w:tbl>
      <w:tblPr>
        <w:tblW w:w="10205" w:type="dxa"/>
        <w:jc w:val="left"/>
        <w:tblInd w:w="0" w:type="dxa"/>
        <w:tblLayout w:type="fixed"/>
        <w:tblCellMar>
          <w:top w:w="0" w:type="dxa"/>
          <w:left w:w="0" w:type="dxa"/>
          <w:bottom w:w="0" w:type="dxa"/>
          <w:right w:w="0" w:type="dxa"/>
        </w:tblCellMar>
      </w:tblPr>
      <w:tblGrid>
        <w:gridCol w:w="38"/>
        <w:gridCol w:w="111"/>
        <w:gridCol w:w="10056"/>
      </w:tblGrid>
      <w:tr>
        <w:trPr/>
        <w:tc>
          <w:tcPr>
            <w:tcW w:w="38" w:type="dxa"/>
            <w:tcBorders/>
            <w:vAlign w:val="center"/>
          </w:tcPr>
          <w:p>
            <w:pPr>
              <w:pStyle w:val="TableContents"/>
              <w:bidi w:val="0"/>
              <w:spacing w:before="0" w:after="283"/>
              <w:jc w:val="left"/>
              <w:rPr/>
            </w:pPr>
            <w:r>
              <w:rPr/>
            </w:r>
          </w:p>
        </w:tc>
        <w:tc>
          <w:tcPr>
            <w:tcW w:w="11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w:t>
            </w:r>
          </w:p>
        </w:tc>
        <w:tc>
          <w:tcPr>
            <w:tcW w:w="10056" w:type="dxa"/>
            <w:tcBorders/>
            <w:vAlign w:val="center"/>
          </w:tcPr>
          <w:p>
            <w:pPr>
              <w:pStyle w:val="TableContents"/>
              <w:bidi w:val="0"/>
              <w:spacing w:lineRule="auto" w:line="240" w:before="0" w:after="0"/>
              <w:jc w:val="both"/>
              <w:rPr>
                <w:rFonts w:ascii="Times New Roman;Times;serif" w:hAnsi="Times New Roman;Times;serif"/>
                <w:sz w:val="20"/>
              </w:rPr>
            </w:pPr>
            <w:r>
              <w:rPr>
                <w:rFonts w:ascii="Times New Roman;Times;serif" w:hAnsi="Times New Roman;Times;serif"/>
                <w:sz w:val="20"/>
                <w:u w:val="single"/>
              </w:rPr>
              <w:t>Holder’s Exercise Limitations</w:t>
            </w:r>
            <w:r>
              <w:rPr>
                <w:rFonts w:ascii="Times New Roman;Times;serif" w:hAnsi="Times New Roman;Times;serif"/>
                <w:sz w:val="20"/>
              </w:rPr>
              <w:t>.   The Company shall not effect any exercise of this Warrant, and a Holder shall not have the right to exercise any portion of this Warrant, pursuant to Section 2 or otherwise, to the extent that after giving effect to such issuance after exercise as set forth on the applicable Notice of Exercise, the Holder (together with the Holder’s Affiliates, and any other Persons acting as a group together with the Holder or any of the Holder’s Affiliates (such Persons, “</w:t>
            </w:r>
            <w:r>
              <w:rPr>
                <w:rFonts w:ascii="Times New Roman;Times;serif" w:hAnsi="Times New Roman;Times;serif"/>
                <w:sz w:val="20"/>
                <w:u w:val="single"/>
              </w:rPr>
              <w:t>Attribution Parties</w:t>
            </w:r>
            <w:r>
              <w:rPr>
                <w:rFonts w:ascii="Times New Roman;Times;serif" w:hAnsi="Times New Roman;Times;serif"/>
                <w:sz w:val="20"/>
              </w:rPr>
              <w:t>”)), would beneficially own in excess of the Beneficial Ownership Limitation (as defined below).  For purposes of the foregoing sentence, the number of Ordinary Shares beneficially owned by the Holder and its Affiliates and Attribution Parties shall include the number of Ordinary Shares issuable upon exercise of this Warrant with respect to which such determination is being made, but shall exclude the number of Ordinary Shares which would be issuable upon (i) exercise of the remaining, nonexercised portion of this Warrant beneficially owned by the Holder or any of its Affiliates or Attribution Parties and (ii) exercise or conversion of the unexercised or nonconverted portion of any other securities of the Company (including, without limitation, any other Ordinary Share Equivalents) subject to a limitation on conversion or exercise analogous to the limitation contained herein beneficially owned by the Holder or any of its Affiliates or Attribution Parties.  Except as set forth in the preceding sentence, for purposes of this Section 2(e), beneficial ownership shall be calculated in accordance with Section 13(d) of the Exchange Act and the rules and regulations promulgated thereunder, it being acknowledged by the Holder that the Company is not representing to the Holder that such calculation is in compliance with Section 13(d) of the Exchange Act and the Holder is solely responsible for any schedules required to be filed in accordance therewith.  To the extent that the limitation contained in this Section 2(e) applies, the determination of whether this Warrant is exercisable (in relation to other securities owned by the Holder together with any Affiliates and Attribution Parties) and of which portion of this Warrant is exercisable shall be in the sole discretion of the Holder, and the submission of a Notice of Exercise shall be deemed to be the Holder’s determination of whether this Warrant is exercisable (in relation to other securities owned by the Holder together with any Affiliates and Attribution Parties) and of which portion of this Warrant is exercisable, in each case subject to the Beneficial Ownership Limitation, and the Company shall have no obligation to verify or confirm the accuracy of such determination.  In addition, a determination as to any group status as contemplated above shall be determined in accordance with Section 13(d) of the Exchange Act and the rules and regulations promulgated thereunder, and the Company shall have no obligation to verify or confirm the accuracy of such determination.  For purposes of this Section 2(e), in determining the number of outstanding Ordinary Shares, a Holder may rely on the number of outstanding Ordinary Shares as reflected in (A) the Company’s most recent periodic or annual report filed with the Commission, as the case may be, (B) a more recent public announcement by the Company or (C) a more recent written notice by the Company or the Transfer Agent setting forth the number of Ordinary Shares outstanding.  Upon the written or oral request of a Holder, the Company shall within one (1) Trading Day confirm orally and in writing to the Holder the number of Ordinary Shares then outstanding.  In any case, the number of outstanding Ordinary Shares shall be determined after giving effect to the conversion or exercise of securities of the Company, including this Warrant, any Additional Warrants or the Notes, by the Holder or its Affiliates or Attribution Parties since the date as of which such number of outstanding Ordinary Shares was reported.  The “</w:t>
            </w:r>
            <w:r>
              <w:rPr>
                <w:rFonts w:ascii="Times New Roman;Times;serif" w:hAnsi="Times New Roman;Times;serif"/>
                <w:sz w:val="20"/>
                <w:u w:val="single"/>
              </w:rPr>
              <w:t>Beneficial Ownership Limitation</w:t>
            </w:r>
            <w:r>
              <w:rPr>
                <w:rFonts w:ascii="Times New Roman;Times;serif" w:hAnsi="Times New Roman;Times;serif"/>
                <w:sz w:val="20"/>
              </w:rPr>
              <w:t>” shall be 4.99% of the number of Ordinary Shares outstanding immediately after giving effect to the issuance of Ordinary Shares issuable upon exercise of this Warrant.  The Holder, upon notice to the Company, may increase or decrease the Beneficial Ownership Limitation provisions of this Section 2(e), provided that the Beneficial Ownership Limitation in no event exceeds 4.99% of the number of Ordinary Shares outstanding immediately after giving effect to the issuance of Ordinary Shares upon exercise of this Warrant held by the Holder and the provisions of this Section 2(e) shall continue to apply.  Any increase in the Beneficial Ownership Limitation will not be effective until the 61st day after such notice is delivered to the Company. Any such increase or decrease will apply only to the Holder and the other Attribution Parties and not to any other holder of Warrant that is not an Attribution Party of the Holder. The provisions of this paragraph shall be construed and implemented in a manner otherwise than in strict conformity with the terms of this Section 2(e)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Warrant.</w:t>
            </w:r>
          </w:p>
        </w:tc>
      </w:tr>
    </w:tbl>
    <w:p>
      <w:pPr>
        <w:pStyle w:val="TextBody"/>
        <w:bidi w:val="0"/>
        <w:spacing w:lineRule="auto" w:line="300"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D - 4</w:t>
      </w:r>
    </w:p>
    <w:p>
      <w:pPr>
        <w:pStyle w:val="HorizontalLine"/>
        <w:pBdr>
          <w:bottom w:val="single" w:sz="12" w:space="0" w:color="808080"/>
        </w:pBdr>
        <w:bidi w:val="0"/>
        <w:spacing w:lineRule="auto" w:line="300" w:before="200" w:after="200"/>
        <w:jc w:val="left"/>
        <w:rPr/>
      </w:pPr>
      <w:r>
        <w:rPr/>
      </w:r>
    </w:p>
    <w:tbl>
      <w:tblPr>
        <w:tblW w:w="10205" w:type="dxa"/>
        <w:jc w:val="left"/>
        <w:tblInd w:w="0" w:type="dxa"/>
        <w:tblLayout w:type="fixed"/>
        <w:tblCellMar>
          <w:top w:w="0" w:type="dxa"/>
          <w:left w:w="0" w:type="dxa"/>
          <w:bottom w:w="0" w:type="dxa"/>
          <w:right w:w="0" w:type="dxa"/>
        </w:tblCellMar>
      </w:tblPr>
      <w:tblGrid>
        <w:gridCol w:w="38"/>
        <w:gridCol w:w="82"/>
        <w:gridCol w:w="10085"/>
      </w:tblGrid>
      <w:tr>
        <w:trPr/>
        <w:tc>
          <w:tcPr>
            <w:tcW w:w="38" w:type="dxa"/>
            <w:tcBorders/>
            <w:vAlign w:val="center"/>
          </w:tcPr>
          <w:p>
            <w:pPr>
              <w:pStyle w:val="TableContents"/>
              <w:bidi w:val="0"/>
              <w:spacing w:before="0" w:after="283"/>
              <w:jc w:val="left"/>
              <w:rPr/>
            </w:pPr>
            <w:r>
              <w:rPr/>
            </w:r>
          </w:p>
        </w:tc>
        <w:tc>
          <w:tcPr>
            <w:tcW w:w="8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w:t>
            </w:r>
          </w:p>
        </w:tc>
        <w:tc>
          <w:tcPr>
            <w:tcW w:w="1008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u w:val="single"/>
              </w:rPr>
              <w:t>Principal Market Regulation</w:t>
            </w:r>
            <w:r>
              <w:rPr>
                <w:rFonts w:ascii="Times New Roman;Times;serif" w:hAnsi="Times New Roman;Times;serif"/>
                <w:sz w:val="20"/>
              </w:rPr>
              <w:t>. The Company shall not issue any Ordinary Shares upon exercise of this Warrant or otherwise pursuant to the terms of this Warrant, or upon conversion of the Notes held by the Holder, if the issuance of such Ordinary Shares would exceed the aggregate number of Ordinary Shares which the Company may issue upon conversion of all Warrants or otherwise pursuant to the terms of all Warrants (as the case may be), or upon exercise of all Notes, in each case, issued pursuant to the Purchase Agreement, without breaching the Company’s obligations under the rules or regulations of the Nasdaq Capital Market (the “</w:t>
            </w:r>
            <w:r>
              <w:rPr>
                <w:rFonts w:ascii="Times New Roman;Times;serif" w:hAnsi="Times New Roman;Times;serif"/>
                <w:sz w:val="20"/>
                <w:u w:val="single"/>
              </w:rPr>
              <w:t>Principal Market</w:t>
            </w:r>
            <w:r>
              <w:rPr>
                <w:rFonts w:ascii="Times New Roman;Times;serif" w:hAnsi="Times New Roman;Times;serif"/>
                <w:sz w:val="20"/>
              </w:rPr>
              <w:t>”) (the number of Ordinary Shares which may be issued without violating such rules and regulations, including rules related to the aggregation of offerings under NASDAQ Listing Rule 5635(d), the “</w:t>
            </w:r>
            <w:r>
              <w:rPr>
                <w:rFonts w:ascii="Times New Roman;Times;serif" w:hAnsi="Times New Roman;Times;serif"/>
                <w:sz w:val="20"/>
                <w:u w:val="single"/>
              </w:rPr>
              <w:t>Exchange Ca</w:t>
            </w:r>
            <w:r>
              <w:rPr>
                <w:rFonts w:ascii="Times New Roman;Times;serif" w:hAnsi="Times New Roman;Times;serif"/>
                <w:sz w:val="20"/>
              </w:rPr>
              <w:t>p”), except that such limitation shall not apply in the event that the Company (A) obtains Shareholder Approval or (B) obtains a written opinion from counsel to the Company that such approval is not required, which opinion shall be reasonably satisfactory to the Holder. Until such approval or such written opinion is obtained, no Purchaser shall be issued in the aggregate, upon conversion or exercise (as the case may be) of any Notes or otherwise pursuant to the terms of the Notes, or of any Warrants or otherwise pursuant to the terms of the Warrants, Ordinary Shares in an amount greater than the product of (i) the Exchange Cap as of the date of the Purchase Agreement multiplied by (ii) the quotient of (1) the original principal amount of Notes issued to such Purchaser pursuant to the Purchase Agreement on the Closing Date (as defined in the Purchase Agreement) divided by (2) the aggregate original principal amount of all Notes issued to the Purchaser pursuant to the Purchase Agreement on the Date (with respect to each Purchaser, the “</w:t>
            </w:r>
            <w:r>
              <w:rPr>
                <w:rFonts w:ascii="Times New Roman;Times;serif" w:hAnsi="Times New Roman;Times;serif"/>
                <w:sz w:val="20"/>
                <w:u w:val="single"/>
              </w:rPr>
              <w:t>Exchange Cap Allocation</w:t>
            </w:r>
            <w:r>
              <w:rPr>
                <w:rFonts w:ascii="Times New Roman;Times;serif" w:hAnsi="Times New Roman;Times;serif"/>
                <w:sz w:val="20"/>
              </w:rPr>
              <w:t>”). In the event that any Purchaser shall sell or otherwise transfer any of such Purchaser’s Warrants, the transferee shall be allocated a pro rata portion of such Purchaser’s Exchange Cap Allocation with respect to such portion of such Warrants so transferred, and the restrictions of the prior sentence shall apply to such transferee with respect to the portion of the Exchange Cap Allocation so allocated to such transferee. Upon exercise in full of a holder’s Warrants, the difference (if any) between such holder’s Exchange Cap Allocation and the number of Ordinary Shares actually issued to such holder upon such holder’s exercise in full of such Warrants shall be allocated, to the respective Exchange Cap Allocations of the remaining holders of Warrants on a pro rata basis in proportion to the Ordinary Shares underlying the Warrants then held by each such holder of Warrants.</w:t>
            </w:r>
          </w:p>
        </w:tc>
      </w:tr>
    </w:tbl>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u w:val="single"/>
        </w:rPr>
        <w:t>Section 3</w:t>
      </w:r>
      <w:r>
        <w:rPr>
          <w:rFonts w:ascii="Times New Roman;Times;serif" w:hAnsi="Times New Roman;Times;serif"/>
          <w:color w:val="000000"/>
          <w:sz w:val="20"/>
        </w:rPr>
        <w:t>.          </w:t>
      </w:r>
      <w:r>
        <w:rPr>
          <w:rFonts w:ascii="Times New Roman;Times;serif" w:hAnsi="Times New Roman;Times;serif"/>
          <w:color w:val="000000"/>
          <w:sz w:val="20"/>
          <w:u w:val="single"/>
        </w:rPr>
        <w:t>Certain Adjustments</w:t>
      </w:r>
      <w:r>
        <w:rPr>
          <w:rFonts w:ascii="Times New Roman;Times;serif" w:hAnsi="Times New Roman;Times;serif"/>
          <w:color w:val="000000"/>
          <w:sz w:val="20"/>
        </w:rPr>
        <w:t>.</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a)          </w:t>
      </w:r>
      <w:r>
        <w:rPr>
          <w:rFonts w:ascii="Times New Roman;Times;serif" w:hAnsi="Times New Roman;Times;serif"/>
          <w:color w:val="000000"/>
          <w:sz w:val="20"/>
          <w:u w:val="single"/>
        </w:rPr>
        <w:t>Share Dividends and Splits</w:t>
      </w:r>
      <w:r>
        <w:rPr>
          <w:rFonts w:ascii="Times New Roman;Times;serif" w:hAnsi="Times New Roman;Times;serif"/>
          <w:color w:val="000000"/>
          <w:sz w:val="20"/>
        </w:rPr>
        <w:t>.  If the Company, at any time while this Warrant is outstanding: (i) pays a share dividend or otherwise makes a distribution or distributions on its Ordinary Shares or any other equity or equity equivalent securities payable in Ordinary Shares (which, for avoidance of doubt, shall not include any Ordinary Shares issued by the Company upon exercise of this Warrant), (ii) subdivides outstanding Ordinary Shares into a larger number of shares, (iii) combines (including by way of reverse share split) outstanding Ordinary Shares into a smaller number of shares, or (iv) issues by reclassification of Ordinary Shares any shares of share capital of the Company, then in each case the Exercise Price shall be multiplied by a fraction of which the numerator shall be the number of Ordinary Shares (excluding treasury shares, if any) outstanding immediately before such event and of which the denominator shall be the number of Ordinary Shares outstanding immediately after such event, and the number of shares issuable upon exercise of this Warrant shall be proportionately adjusted such that the aggregate Exercise Price of this Warrant shall remain unchanged.  Any adjustment made pursuant to this Section 3(a) shall become effective immediately after the record date for the determination of shareholders entitled to receive such dividend or distribution and shall become effective immediately after the effective date in the case of a subdivision, combination or re</w:t>
        <w:noBreakHyphen/>
        <w:t>classification.</w:t>
      </w:r>
    </w:p>
    <w:p>
      <w:pPr>
        <w:pStyle w:val="TextBody"/>
        <w:bidi w:val="0"/>
        <w:spacing w:lineRule="auto" w:line="300"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D - 5</w:t>
      </w:r>
    </w:p>
    <w:p>
      <w:pPr>
        <w:pStyle w:val="HorizontalLine"/>
        <w:pBdr>
          <w:bottom w:val="single" w:sz="12" w:space="0" w:color="808080"/>
        </w:pBdr>
        <w:bidi w:val="0"/>
        <w:spacing w:lineRule="auto" w:line="300" w:before="200" w:after="200"/>
        <w:jc w:val="left"/>
        <w:rPr/>
      </w:pPr>
      <w:r>
        <w:rPr/>
      </w:r>
    </w:p>
    <w:p>
      <w:pPr>
        <w:pStyle w:val="TextBody"/>
        <w:bidi w:val="0"/>
        <w:spacing w:lineRule="auto" w:line="300"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b)          </w:t>
      </w:r>
      <w:r>
        <w:rPr>
          <w:rFonts w:ascii="Times New Roman;Times;serif" w:hAnsi="Times New Roman;Times;serif"/>
          <w:color w:val="000000"/>
          <w:sz w:val="20"/>
          <w:u w:val="single"/>
        </w:rPr>
        <w:t>Subsequent Rights Offerings</w:t>
      </w:r>
      <w:r>
        <w:rPr>
          <w:rFonts w:ascii="Times New Roman;Times;serif" w:hAnsi="Times New Roman;Times;serif"/>
          <w:color w:val="000000"/>
          <w:sz w:val="20"/>
        </w:rPr>
        <w:t>.  In addition to any adjustments pursuant to Section 3(a) above, if at any time the Company grants, issues or sells any Ordinary Share Equivalents or rights to purchase shares, warrants, securities or other property pro rata to the record holders of any class of Ordinary Shares (the “</w:t>
      </w:r>
      <w:r>
        <w:rPr>
          <w:rFonts w:ascii="Times New Roman;Times;serif" w:hAnsi="Times New Roman;Times;serif"/>
          <w:color w:val="000000"/>
          <w:sz w:val="20"/>
          <w:u w:val="single"/>
        </w:rPr>
        <w:t>Purchase Rights</w:t>
      </w:r>
      <w:r>
        <w:rPr>
          <w:rFonts w:ascii="Times New Roman;Times;serif" w:hAnsi="Times New Roman;Times;serif"/>
          <w:color w:val="000000"/>
          <w:sz w:val="20"/>
        </w:rPr>
        <w:t>”), then the Holder will be entitled to acquire, upon the terms applicable to such Purchase Rights, the aggregate Purchase Rights which the Holder could have acquired if the Holder had held the number of Ordinary Shares acquirable upon complete exercise of this Warrant (without regard to any limitations on exercise hereof, including without limitation, the Beneficial Ownership Limitation) immediately before the date on which a record is taken for the grant, issuance or sale of such Purchase Rights, or, if no such record is taken, the date as of which the record holders of Ordinary Shares are to be determined for the grant, issue or sale of such Purchase Rights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however</w:t>
      </w:r>
      <w:r>
        <w:rPr>
          <w:rFonts w:ascii="Times New Roman;Times;serif" w:hAnsi="Times New Roman;Times;serif"/>
          <w:color w:val="000000"/>
          <w:sz w:val="20"/>
        </w:rPr>
        <w:t>, that to the extent that the Holder’s right to participate in any such Purchase Right would result in the Holder exceeding the Beneficial Ownership Limitation, then the Holder shall not be entitled to participate in such Purchase Right to such extent (or beneficial ownership of such Ordinary Shares as a result of such Purchase Right to such extent) and such Purchase Right to such extent shall be held in abeyance for the Holder until such time, if ever, as its right thereto would not result in the Holder exceeding the Beneficial Ownership Limitation).</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c)          </w:t>
      </w:r>
      <w:r>
        <w:rPr>
          <w:rFonts w:ascii="Times New Roman;Times;serif" w:hAnsi="Times New Roman;Times;serif"/>
          <w:color w:val="000000"/>
          <w:sz w:val="20"/>
          <w:u w:val="single"/>
        </w:rPr>
        <w:t>Pro Rata Distributions</w:t>
      </w:r>
      <w:r>
        <w:rPr>
          <w:rFonts w:ascii="Times New Roman;Times;serif" w:hAnsi="Times New Roman;Times;serif"/>
          <w:color w:val="000000"/>
          <w:sz w:val="20"/>
        </w:rPr>
        <w:t>.  During such time as this Warrant is outstanding, if the Company shall declare or make any dividend or other distribution of its assets (or rights to acquire its assets) to holders of Ordinary Shares, by way of return of capital or otherwise (including, without limitation, any distribution of cash, shares, or other securities, property or options by way of a dividend, spin off, reclassification, corporate rearrangement, scheme of arrangement or other similar transaction) (a “</w:t>
      </w:r>
      <w:r>
        <w:rPr>
          <w:rFonts w:ascii="Times New Roman;Times;serif" w:hAnsi="Times New Roman;Times;serif"/>
          <w:color w:val="000000"/>
          <w:sz w:val="20"/>
          <w:u w:val="single"/>
        </w:rPr>
        <w:t>Distribution</w:t>
      </w:r>
      <w:r>
        <w:rPr>
          <w:rFonts w:ascii="Times New Roman;Times;serif" w:hAnsi="Times New Roman;Times;serif"/>
          <w:color w:val="000000"/>
          <w:sz w:val="20"/>
        </w:rPr>
        <w:t>”), at any time after the issuance of this Warrant, then, in each such case, the Holder shall be entitled to participate in such Distribution to the same extent that the Holder would have participated therein if the Holder had held the number of Ordinary Shares acquirable upon complete exercise of this Warrant (without regard to any limitations on exercise hereof, including without limitation, the Beneficial Ownership Limitation) immediately before the date of which a record is taken for such Distribution, or, if no such record is taken, the date as of which the record holders of Ordinary Shares are to be determined for the participation in such Distribution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however</w:t>
      </w:r>
      <w:r>
        <w:rPr>
          <w:rFonts w:ascii="Times New Roman;Times;serif" w:hAnsi="Times New Roman;Times;serif"/>
          <w:color w:val="000000"/>
          <w:sz w:val="20"/>
        </w:rPr>
        <w:t>, that to the extent that the Holder’s right to participate in any such Distribution would result in the Holder exceeding the Beneficial Ownership Limitation, then the Holder shall not be entitled to participate in such Distribution to such extent (or in the beneficial ownership of any Ordinary Shares as a result of such Distribution to such extent) and the portion of such Distribution shall be held in abeyance for the benefit of the Holder until such time, if ever, as its right thereto would not result in the Holder exceeding the Beneficial Ownership Limitation).</w:t>
      </w:r>
    </w:p>
    <w:p>
      <w:pPr>
        <w:pStyle w:val="TextBody"/>
        <w:bidi w:val="0"/>
        <w:spacing w:lineRule="auto" w:line="300"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D - 6</w:t>
      </w:r>
    </w:p>
    <w:p>
      <w:pPr>
        <w:pStyle w:val="HorizontalLine"/>
        <w:pBdr>
          <w:bottom w:val="single" w:sz="12" w:space="0" w:color="808080"/>
        </w:pBdr>
        <w:bidi w:val="0"/>
        <w:spacing w:lineRule="auto" w:line="300" w:before="200" w:after="200"/>
        <w:jc w:val="left"/>
        <w:rPr/>
      </w:pPr>
      <w:r>
        <w:rPr/>
      </w:r>
    </w:p>
    <w:p>
      <w:pPr>
        <w:pStyle w:val="TextBody"/>
        <w:bidi w:val="0"/>
        <w:spacing w:lineRule="auto" w:line="300"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d)          </w:t>
      </w:r>
      <w:r>
        <w:rPr>
          <w:rFonts w:ascii="Times New Roman;Times;serif" w:hAnsi="Times New Roman;Times;serif"/>
          <w:color w:val="000000"/>
          <w:sz w:val="20"/>
          <w:u w:val="single"/>
        </w:rPr>
        <w:t>Fundamental Transaction</w:t>
      </w:r>
      <w:r>
        <w:rPr>
          <w:rFonts w:ascii="Times New Roman;Times;serif" w:hAnsi="Times New Roman;Times;serif"/>
          <w:color w:val="000000"/>
          <w:sz w:val="20"/>
        </w:rPr>
        <w:t>. If, at any time while this Warrant is outstanding, (i) the Company, directly or indirectly, in one or more related transactions effects any merger or consolidation of the Company with or into another Person, (ii) the Company (or any Subsidiary), directly or indirectly, effects any sale, lease, license, assignment, transfer, conveyance or other disposition of all or substantially all of the Company’s assets in one or a series of related transactions, (iii) any, direct or indirect, purchase offer, tender offer or exchange offer (whether by the Company or another Person) is completed pursuant to which holders of Ordinary Shares are permitted to sell, tender or exchange their shares for other securities, cash or property and has been accepted by the holders of more than 50% of the outstanding Ordinary Shares or more than 50% of the voting power of the common equity of the Company, (iv) the Company, directly or indirectly, in one or more related transactions effects any reclassification, reorganization or recapitalization of the Ordinary Shares or any compulsory share exchange pursuant to which the Ordinary Shares are effectively converted into or exchanged for other securities, cash or property, or (v) the Company, directly or indirectly, in one or more related transactions consummates a share purchase agreement or other business combination (including, without limitation, a reorganization, recapitalization, spin-off, merger or scheme of arrangement) with another Person or group of Persons whereby such other Person or group acquires more than 50% of the outstanding Ordinary Shares or more than 50% of the voting power of the common equity of the Company (each a “</w:t>
      </w:r>
      <w:r>
        <w:rPr>
          <w:rFonts w:ascii="Times New Roman;Times;serif" w:hAnsi="Times New Roman;Times;serif"/>
          <w:color w:val="000000"/>
          <w:sz w:val="20"/>
          <w:u w:val="single"/>
        </w:rPr>
        <w:t>Fundamental Transaction</w:t>
      </w:r>
      <w:r>
        <w:rPr>
          <w:rFonts w:ascii="Times New Roman;Times;serif" w:hAnsi="Times New Roman;Times;serif"/>
          <w:color w:val="000000"/>
          <w:sz w:val="20"/>
        </w:rPr>
        <w:t>”), then, upon any subsequent exercise of this Warrant, the Holder shall have the right to receive, for each Warrant Share that would have been issuable upon such exercise immediately prior to the occurrence of such Fundamental Transaction, at the option of the Holder (without regard to any limitation in Section 2(e) on the exercise of this Warrant), the number of Ordinary Shares of the successor or acquiring corporation or of the Company, if it is the surviving corporation, and any additional consideration (the “</w:t>
      </w:r>
      <w:r>
        <w:rPr>
          <w:rFonts w:ascii="Times New Roman;Times;serif" w:hAnsi="Times New Roman;Times;serif"/>
          <w:color w:val="000000"/>
          <w:sz w:val="20"/>
          <w:u w:val="single"/>
        </w:rPr>
        <w:t>Alternate Consideration</w:t>
      </w:r>
      <w:r>
        <w:rPr>
          <w:rFonts w:ascii="Times New Roman;Times;serif" w:hAnsi="Times New Roman;Times;serif"/>
          <w:color w:val="000000"/>
          <w:sz w:val="20"/>
        </w:rPr>
        <w:t xml:space="preserve">”) receivable as a result of such Fundamental Transaction by a holder of the number of Ordinary Shares for which this Warrant is exercisable immediately prior to such Fundamental Transaction (without regard to any limitation in Section 2(e) on the exercise of this Warrant).  For purposes of any such exercise, the determination of the Exercise Price shall be appropriately adjusted to apply to such Alternate Consideration based on the amount of Alternate Consideration issuable in respect of one Ordinary Share in such Fundamental Transaction, and the Company shall apportion the Exercise Price among the Alternate Consideration in a reasonable manner reflecting the relative value of any different components of the Alternate Consideration.  If holders of Ordinary Shares are given any choice as to the securities, cash or property to be received in a Fundamental Transaction, then the Holder shall be given the same choice as to the Alternate Consideration it receives upon any exercise of this Warrant following such Fundamental Transaction.  Notwithstanding anything to the contrary, in the event of a Fundamental Transaction, the Company or any Successor Entity (as defined below) shall, at the Holder’s option, exercisable at any time concurrently with, or within 30 days after, the consummation of the Fundamental Transaction (or, if later, the date of the public announcement of the applicable Fundamental Transaction), purchase this Warrant from the Holder by paying to the Holder an amount equal to the Black Scholes Value (as defined below) of the remaining unexercised portion of this Warrant on the date of the consummation of such Fundamental Transaction payable in either, at the option of the Company, cash, Ordinary Shares or the same type or form of consideration (and in the same proportion) that is being offered and paid to the holders of the Ordinary Shares of the Company in connection with the Fundamental Transaction, whether that consideration be in the form of cash, shares or any combination thereof, or whether the holders of the Ordinary Shares are given the choice to receive from among alternative forms of consideration in connection with the Fundamental Transaction;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further</w:t>
      </w:r>
      <w:r>
        <w:rPr>
          <w:rFonts w:ascii="Times New Roman;Times;serif" w:hAnsi="Times New Roman;Times;serif"/>
          <w:color w:val="000000"/>
          <w:sz w:val="20"/>
        </w:rPr>
        <w:t>, that if holders of Ordinary Shares of the Company are not offered or paid any consideration in such Fundamental Transaction, such holders of Ordinary Shares will be deemed to have received common stock of the Successor Entity (which Entity may be the Company following such Fundamental Transaction) in such Fundamental Transaction.  “</w:t>
      </w:r>
      <w:r>
        <w:rPr>
          <w:rFonts w:ascii="Times New Roman;Times;serif" w:hAnsi="Times New Roman;Times;serif"/>
          <w:color w:val="000000"/>
          <w:sz w:val="20"/>
          <w:u w:val="single"/>
        </w:rPr>
        <w:t>Black Scholes Value</w:t>
      </w:r>
      <w:r>
        <w:rPr>
          <w:rFonts w:ascii="Times New Roman;Times;serif" w:hAnsi="Times New Roman;Times;serif"/>
          <w:color w:val="000000"/>
          <w:sz w:val="20"/>
        </w:rPr>
        <w:t>” means the value of this Warrant based on the Black-Scholes Option Pricing Model obtained from the “OV” function on Bloomberg determined as of the day of consummation of the applicable Fundamental Transaction for pricing purposes and reflecting (A) a risk-free interest rate corresponding to the U.S. Treasury rate for a period equal to the time between the date of the public announcement of the applicable contemplated Fundamental Transaction and the Termination Date, (B) an expected volatility equal to the greater of (1) the 100 day volatility or (2) the volatility of 100%, each of clauses (1)-(2) as obtained from the HVT function on Bloomberg (determined utilizing a 365 day annualization factor) as of the Trading Day immediately following the public announcement of the applicable contemplated Fundamental Transaction, (C) the underlying price per share used in such calculation shall be the highest VWAP during the period beginning on the Trading Day immediately preceding the public announcement of the applicable contemplated Fundamental Transaction (or the consummation of the applicable Fundamental Transaction, if earlier) and ending on the Trading Day of the Holder’s request pursuant to this Section 3(d), (D) a remaining option time equal to the time between the date of the public announcement of the applicable contemplated Fundamental Transaction and the Termination Date and (E) a zero cost of borrow.  The payment of the Black Scholes Value will be made by wire transfer of immediately available funds (or such other consideration) within the later of (i) five Business Days of the Holder’s election and (ii) the date of consummation of the Fundamental Transaction.  The Company shall cause any successor entity in a Fundamental Transaction in which the Company is not the survivor (the “</w:t>
      </w:r>
      <w:r>
        <w:rPr>
          <w:rFonts w:ascii="Times New Roman;Times;serif" w:hAnsi="Times New Roman;Times;serif"/>
          <w:color w:val="000000"/>
          <w:sz w:val="20"/>
          <w:u w:val="single"/>
        </w:rPr>
        <w:t>Successor Entity</w:t>
      </w:r>
      <w:r>
        <w:rPr>
          <w:rFonts w:ascii="Times New Roman;Times;serif" w:hAnsi="Times New Roman;Times;serif"/>
          <w:color w:val="000000"/>
          <w:sz w:val="20"/>
        </w:rPr>
        <w:t>”) to assume in writing all of the obligations of the Company under this Warrant and the other Transaction Documents in accordance with the provisions of this Section 3(d) pursuant to written agreements in form and substance reasonably satisfactory to the Holder and approved by the Holder (without unreasonable delay) prior to such Fundamental Transaction and shall, at the option of the Holder, deliver to the Holder in exchange for this Warrant a security of the Successor Entity evidenced by a written instrument substantially similar in form and substance to this Warrant which is exercisable for a corresponding number of share capital of such Successor Entity (or its parent entity) equivalent to the Ordinary Shares acquirable and receivable upon exercise of this Warrant (without regard to any limitations on the exercise of this Warrant) prior to such Fundamental Transaction, and with an exercise price which applies the exercise price hereunder to such share capital (but taking into account the relative value of the Ordinary Shares pursuant to such Fundamental Transaction and the value of such share capital, such number of share capital and such exercise price being for the purpose of protecting the economic value of this Warrant immediately prior to the consummation of such Fundamental Transaction), and which is reasonably satisfactory in form and substance to the Holder.  Upon the occurrence of any such Fundamental Transaction, the Successor Entity shall be added to the term “Company” under this Warrant (so that from and after the occurrence or consummation of such Fundamental Transaction, each and every provision of this Warrant and the other Transaction Documents referring to the “Company” shall refer instead to each of the Company and the Successor Entity or Successor Entities, jointly and severally), and the Successor Entity or Successor Entities, jointly and severally with the Company, may exercise every right and power of the Company prior thereto and the Successor Entity or Successor Entities shall assume all of the obligations of the Company prior thereto under this Warrant and the other Transaction Documents with the same effect as if the Company and such Successor Entity or Successor Entities, jointly and severally, had been named as the Company herein.  For the avoidance of doubt, the Holder shall be entitled to the benefits of the provisions of this Section 3(d) regardless of (i) whether the Company has sufficient authorized Ordinary Shares for the issuance of Warrant Shares and/or (ii) whether a Fundamental Transaction occurs prior to the Initial Exercise Date. Notwithstanding anything to the contrary herein, the Company and Holder acknowledge and agree that the transactions contemplated by that certain Purchase Agreement (the “</w:t>
      </w:r>
      <w:r>
        <w:rPr>
          <w:rFonts w:ascii="Times New Roman;Times;serif" w:hAnsi="Times New Roman;Times;serif"/>
          <w:color w:val="000000"/>
          <w:sz w:val="20"/>
          <w:u w:val="single"/>
        </w:rPr>
        <w:t>Oratech Purchase Agreement</w:t>
      </w:r>
      <w:r>
        <w:rPr>
          <w:rFonts w:ascii="Times New Roman;Times;serif" w:hAnsi="Times New Roman;Times;serif"/>
          <w:color w:val="000000"/>
          <w:sz w:val="20"/>
        </w:rPr>
        <w:t>”), dated as of January 12, 2026, by and among the Company, Oratech Pharma, Inc. and Oramed Pharmaceuticals, Inc. (the “</w:t>
      </w:r>
      <w:r>
        <w:rPr>
          <w:rFonts w:ascii="Times New Roman;Times;serif" w:hAnsi="Times New Roman;Times;serif"/>
          <w:color w:val="000000"/>
          <w:sz w:val="20"/>
          <w:u w:val="single"/>
        </w:rPr>
        <w:t>Current Transaction</w:t>
      </w:r>
      <w:r>
        <w:rPr>
          <w:rFonts w:ascii="Times New Roman;Times;serif" w:hAnsi="Times New Roman;Times;serif"/>
          <w:color w:val="000000"/>
          <w:sz w:val="20"/>
        </w:rPr>
        <w:t>”) and related transaction documentation, including the execution of the Oratech Purchase Agreement and documentation related thereto, shall not constitute, and shall not be deemed to constitute, a Fundamental Transaction for any purpose under this Warrant, and no rights, remedies, or obligations that would otherwise arise upon the occurrence of a Fundamental Transaction shall be triggered by or in connection with the consummation of the Current Transaction.  Additionally, notwithstanding anything to the contrary herein, no transaction, action, election, or arrangement initiated, proposed, directed, or otherwise caused by, or at the direction of, the Majority Holders shall constitute, or be deemed to constitute, a Fundamental Transaction, and no Fundamental Transaction shall be deemed to have occurred solely as a result of any voluntary act or omission of the Majority Holders. For the avoidance of doubt, a Fundamental Transaction shall only be deemed to occur upon the consummation of a transaction undertaken by the Company or a third party independent of the Majority  Holders, and not as a result of any designation, characterization, or contractual right exercised by the Majority Holders.</w:t>
      </w:r>
    </w:p>
    <w:p>
      <w:pPr>
        <w:pStyle w:val="TextBody"/>
        <w:bidi w:val="0"/>
        <w:spacing w:lineRule="auto" w:line="300"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D - 7</w:t>
      </w:r>
    </w:p>
    <w:p>
      <w:pPr>
        <w:pStyle w:val="HorizontalLine"/>
        <w:pBdr>
          <w:bottom w:val="single" w:sz="12" w:space="0" w:color="808080"/>
        </w:pBdr>
        <w:bidi w:val="0"/>
        <w:spacing w:lineRule="auto" w:line="300" w:before="200" w:after="200"/>
        <w:jc w:val="left"/>
        <w:rPr/>
      </w:pPr>
      <w:r>
        <w:rPr/>
      </w:r>
    </w:p>
    <w:p>
      <w:pPr>
        <w:pStyle w:val="TextBody"/>
        <w:bidi w:val="0"/>
        <w:spacing w:lineRule="auto" w:line="300"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e)          </w:t>
      </w:r>
      <w:r>
        <w:rPr>
          <w:rFonts w:ascii="Times New Roman;Times;serif" w:hAnsi="Times New Roman;Times;serif"/>
          <w:color w:val="000000"/>
          <w:sz w:val="20"/>
          <w:u w:val="single"/>
        </w:rPr>
        <w:t>Calculations</w:t>
      </w:r>
      <w:r>
        <w:rPr>
          <w:rFonts w:ascii="Times New Roman;Times;serif" w:hAnsi="Times New Roman;Times;serif"/>
          <w:color w:val="000000"/>
          <w:sz w:val="20"/>
        </w:rPr>
        <w:t>.  All calculations under this Section 3 shall be made to the nearest cent or the nearest 1/100th of a share, as the case may be.  For purposes of this Section 3, the number of Ordinary Shares deemed to be issued and outstanding as of a given date shall be the sum of the number of Ordinary Shares (excluding treasury shares, if any) issued and outstanding.</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f)          </w:t>
      </w:r>
      <w:r>
        <w:rPr>
          <w:rFonts w:ascii="Times New Roman;Times;serif" w:hAnsi="Times New Roman;Times;serif"/>
          <w:color w:val="000000"/>
          <w:sz w:val="20"/>
          <w:u w:val="single"/>
        </w:rPr>
        <w:t>Notice to Holder</w:t>
      </w:r>
      <w:r>
        <w:rPr>
          <w:rFonts w:ascii="Times New Roman;Times;serif" w:hAnsi="Times New Roman;Times;serif"/>
          <w:color w:val="000000"/>
          <w:sz w:val="20"/>
        </w:rPr>
        <w:t>.</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2160" w:right="0" w:firstLine="720"/>
        <w:jc w:val="both"/>
        <w:rPr>
          <w:rFonts w:ascii="Times New Roman;Times;serif" w:hAnsi="Times New Roman;Times;serif"/>
          <w:color w:val="000000"/>
          <w:sz w:val="20"/>
        </w:rPr>
      </w:pPr>
      <w:r>
        <w:rPr>
          <w:rFonts w:ascii="Times New Roman;Times;serif" w:hAnsi="Times New Roman;Times;serif"/>
          <w:color w:val="000000"/>
          <w:sz w:val="20"/>
        </w:rPr>
        <w:t>i.          </w:t>
      </w:r>
      <w:r>
        <w:rPr>
          <w:rFonts w:ascii="Times New Roman;Times;serif" w:hAnsi="Times New Roman;Times;serif"/>
          <w:color w:val="000000"/>
          <w:sz w:val="20"/>
          <w:u w:val="single"/>
        </w:rPr>
        <w:t>Adjustment to Exercise Price</w:t>
      </w:r>
      <w:r>
        <w:rPr>
          <w:rFonts w:ascii="Times New Roman;Times;serif" w:hAnsi="Times New Roman;Times;serif"/>
          <w:color w:val="000000"/>
          <w:sz w:val="20"/>
        </w:rPr>
        <w:t>.  Whenever the Exercise Price is adjusted pursuant to any provision of this Section 3, the Company shall promptly deliver to the Holder by email a notice setting forth the Exercise Price after such adjustment and any resulting adjustment to the number of Warrant Shares and setting forth a brief statement of the facts requiring such adjustment.</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2160" w:right="0" w:firstLine="720"/>
        <w:jc w:val="both"/>
        <w:rPr>
          <w:rFonts w:ascii="Times New Roman;Times;serif" w:hAnsi="Times New Roman;Times;serif"/>
          <w:color w:val="000000"/>
          <w:sz w:val="20"/>
        </w:rPr>
      </w:pPr>
      <w:r>
        <w:rPr>
          <w:rFonts w:ascii="Times New Roman;Times;serif" w:hAnsi="Times New Roman;Times;serif"/>
          <w:color w:val="000000"/>
          <w:sz w:val="20"/>
        </w:rPr>
        <w:t>ii.          </w:t>
      </w:r>
      <w:r>
        <w:rPr>
          <w:rFonts w:ascii="Times New Roman;Times;serif" w:hAnsi="Times New Roman;Times;serif"/>
          <w:color w:val="000000"/>
          <w:sz w:val="20"/>
          <w:u w:val="single"/>
        </w:rPr>
        <w:t>Notice to Allow Exercise by Holder</w:t>
      </w:r>
      <w:r>
        <w:rPr>
          <w:rFonts w:ascii="Times New Roman;Times;serif" w:hAnsi="Times New Roman;Times;serif"/>
          <w:color w:val="000000"/>
          <w:sz w:val="20"/>
        </w:rPr>
        <w:t>.  If (A) the Company shall declare a dividend (or any other distribution in whatever form) on the Ordinary Shares, (B) the Company shall declare a special nonrecurring cash dividend on or a redemption of the Ordinary Shares, (C) the Company shall authorize the granting to all holders of the Ordinary Shares rights or warrants to subscribe for or purchase any share capital of any class or of any rights, (D) the approval of any shareholders of the Company shall be required in connection with any reclassification of the Ordinary Shares, any consolidation or merger to which the Company (or any of its Subsidiaries) is a party, any sale or transfer of all or substantially all of its assets, or any compulsory share exchange whereby the Ordinary Shares are converted into other securities, cash or property, or (E) the Company shall authorize the voluntary or involuntary dissolution, liquidation or winding up of the affairs of the Company, then, in each case, the Company shall cause to be delivered by email to the Holder at its last email address as it shall appear upon the Warrant Register of the Company, at least 20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Ordinary Shares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Ordinary Shares of record shall be entitled to exchange their Ordinary Shares for securities, cash or other property deliverable upon such reclassification, consolidation, merger, sale, transfer or share exchange; provided that the failure to deliver such notice or any defect therein or in the delivery thereof shall not affect the validity of the corporate action required to be specified in such notice.  To the extent that any notice provided in this Warrant constitutes, or contains, material, non-public information regarding the Company or any of the Subsidiaries, the Company shall simultaneously file such notice with the Commission pursuant to a Current Report on Form 8-K.  The Holder shall remain entitled to exercise this Warrant during the period commencing on the date of such notice to the effective date of the event triggering such notice except as may otherwise be expressly set forth herein.</w:t>
      </w:r>
    </w:p>
    <w:p>
      <w:pPr>
        <w:pStyle w:val="TextBody"/>
        <w:bidi w:val="0"/>
        <w:spacing w:lineRule="auto" w:line="300"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D - 8</w:t>
      </w:r>
    </w:p>
    <w:p>
      <w:pPr>
        <w:pStyle w:val="HorizontalLine"/>
        <w:pBdr>
          <w:bottom w:val="single" w:sz="12" w:space="0" w:color="808080"/>
        </w:pBdr>
        <w:bidi w:val="0"/>
        <w:spacing w:lineRule="auto" w:line="300" w:before="200" w:after="200"/>
        <w:jc w:val="left"/>
        <w:rPr/>
      </w:pPr>
      <w:r>
        <w:rPr/>
      </w:r>
    </w:p>
    <w:p>
      <w:pPr>
        <w:pStyle w:val="TextBody"/>
        <w:bidi w:val="0"/>
        <w:spacing w:lineRule="auto" w:line="300"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g)          </w:t>
      </w:r>
      <w:r>
        <w:rPr>
          <w:rFonts w:ascii="Times New Roman;Times;serif" w:hAnsi="Times New Roman;Times;serif"/>
          <w:color w:val="000000"/>
          <w:sz w:val="20"/>
          <w:u w:val="single"/>
        </w:rPr>
        <w:t>Voluntary Adjustment By Company</w:t>
      </w:r>
      <w:r>
        <w:rPr>
          <w:rFonts w:ascii="Times New Roman;Times;serif" w:hAnsi="Times New Roman;Times;serif"/>
          <w:color w:val="000000"/>
          <w:sz w:val="20"/>
        </w:rPr>
        <w:t>.  Subject to the rules and regulations of the Trading Market, the Company may at any time after June 26, 2026 through the term of this Warrant reduce the then current Exercise Price to any amount and for any period of time deemed appropriate by the board of directors of the Company.</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u w:val="single"/>
        </w:rPr>
        <w:t>Section 4</w:t>
      </w:r>
      <w:r>
        <w:rPr>
          <w:rFonts w:ascii="Times New Roman;Times;serif" w:hAnsi="Times New Roman;Times;serif"/>
          <w:color w:val="000000"/>
          <w:sz w:val="20"/>
        </w:rPr>
        <w:t>.          </w:t>
      </w:r>
      <w:r>
        <w:rPr>
          <w:rFonts w:ascii="Times New Roman;Times;serif" w:hAnsi="Times New Roman;Times;serif"/>
          <w:color w:val="000000"/>
          <w:sz w:val="20"/>
          <w:u w:val="single"/>
        </w:rPr>
        <w:t>Transfer of Warrant</w:t>
      </w:r>
      <w:r>
        <w:rPr>
          <w:rFonts w:ascii="Times New Roman;Times;serif" w:hAnsi="Times New Roman;Times;serif"/>
          <w:color w:val="000000"/>
          <w:sz w:val="20"/>
        </w:rPr>
        <w:t>.</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a)          </w:t>
      </w:r>
      <w:r>
        <w:rPr>
          <w:rFonts w:ascii="Times New Roman;Times;serif" w:hAnsi="Times New Roman;Times;serif"/>
          <w:color w:val="000000"/>
          <w:sz w:val="20"/>
          <w:u w:val="single"/>
        </w:rPr>
        <w:t>Transferability</w:t>
      </w:r>
      <w:r>
        <w:rPr>
          <w:rFonts w:ascii="Times New Roman;Times;serif" w:hAnsi="Times New Roman;Times;serif"/>
          <w:color w:val="000000"/>
          <w:sz w:val="20"/>
        </w:rPr>
        <w:t>.  Subject to compliance with any applicable securities laws and the conditions set forth in Section 4(d) hereof and to the provisions of Section 4.1 of the Purchase Agreement, this Warrant and all rights hereunder (including, without limitation, any registration rights) are transferable, in whole or in part, upon surrender of this Warrant at the principal office of the Company or its designated agent, together with a written assignment of this Warrant substantially in the form attached hereto duly executed by the Holder or its agent or attorney and funds sufficient to pay any transfer taxes payable upon the making of such transfer.  Upon such surrender and, if required, such payment, the Company shall execute and deliver a new Warrant or Warrants in the name of the assignee or assignees, as applicable, and in the denomination or denominations specified in such instrument of assignment, and shall issue to the assignor a new Warrant evidencing the portion of this Warrant not so assigned, and this Warrant shall promptly be cancelled.  Notwithstanding anything herein to the contrary, the Holder shall not be required to physically surrender this Warrant to the Company unless the Holder has assigned this Warrant in full, in which case, the Holder shall surrender this Warrant to the Company within three (3) Trading Days of the date on which the Holder delivers an assignment form to the Company assigning this Warrant in full.  The Warrant, if properly assigned in accordance herewith, may be exercised by a new holder for the purchase of Warrant Shares without having a new Warrant issued.</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b)          </w:t>
      </w:r>
      <w:r>
        <w:rPr>
          <w:rFonts w:ascii="Times New Roman;Times;serif" w:hAnsi="Times New Roman;Times;serif"/>
          <w:color w:val="000000"/>
          <w:sz w:val="20"/>
          <w:u w:val="single"/>
        </w:rPr>
        <w:t>New Warrants</w:t>
      </w:r>
      <w:r>
        <w:rPr>
          <w:rFonts w:ascii="Times New Roman;Times;serif" w:hAnsi="Times New Roman;Times;serif"/>
          <w:color w:val="000000"/>
          <w:sz w:val="20"/>
        </w:rPr>
        <w:t>.  This Warrant may be divided or combined with other Warrants upon presentation hereof at the aforesaid office of the Company, together with a written notice specifying the names and denominations in which new Warrants are to be issued, signed by the Holder or its agent or attorney.  Subject to compliance with Section 4(a), as to any transfer which may be involved in such division or combination, the Company shall execute and deliver a new Warrant or Warrants in exchange for the Warrant or Warrants to be divided or combined in accordance with such notice.  All Warrants issued on transfers or exchanges shall be dated the initial issuance date of this Warrant and shall be identical with this Warrant except as to the number of Warrant Shares issuable pursuant thereto.</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c)          </w:t>
      </w:r>
      <w:r>
        <w:rPr>
          <w:rFonts w:ascii="Times New Roman;Times;serif" w:hAnsi="Times New Roman;Times;serif"/>
          <w:color w:val="000000"/>
          <w:sz w:val="20"/>
          <w:u w:val="single"/>
        </w:rPr>
        <w:t>Warrant Register</w:t>
      </w:r>
      <w:r>
        <w:rPr>
          <w:rFonts w:ascii="Times New Roman;Times;serif" w:hAnsi="Times New Roman;Times;serif"/>
          <w:color w:val="000000"/>
          <w:sz w:val="20"/>
        </w:rPr>
        <w:t>.  The Company shall register this Warrant, upon records to be maintained by the Company for that purpose (the “</w:t>
      </w:r>
      <w:r>
        <w:rPr>
          <w:rFonts w:ascii="Times New Roman;Times;serif" w:hAnsi="Times New Roman;Times;serif"/>
          <w:color w:val="000000"/>
          <w:sz w:val="20"/>
          <w:u w:val="single"/>
        </w:rPr>
        <w:t>Warrant Register</w:t>
      </w:r>
      <w:r>
        <w:rPr>
          <w:rFonts w:ascii="Times New Roman;Times;serif" w:hAnsi="Times New Roman;Times;serif"/>
          <w:color w:val="000000"/>
          <w:sz w:val="20"/>
        </w:rPr>
        <w:t>”), in the name of the record Holder hereof from time to time.  The Company may deem and treat the registered Holder of this Warrant as the absolute owner hereof for the purpose of any exercise hereof or any distribution to the Holder, and for all other purposes, absent actual notice to the contrary.</w:t>
      </w:r>
    </w:p>
    <w:p>
      <w:pPr>
        <w:pStyle w:val="TextBody"/>
        <w:bidi w:val="0"/>
        <w:spacing w:lineRule="auto" w:line="300"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D - 9</w:t>
      </w:r>
    </w:p>
    <w:p>
      <w:pPr>
        <w:pStyle w:val="HorizontalLine"/>
        <w:pBdr>
          <w:bottom w:val="single" w:sz="12" w:space="0" w:color="808080"/>
        </w:pBdr>
        <w:bidi w:val="0"/>
        <w:spacing w:lineRule="auto" w:line="300" w:before="200" w:after="200"/>
        <w:jc w:val="left"/>
        <w:rPr/>
      </w:pPr>
      <w:r>
        <w:rPr/>
      </w:r>
    </w:p>
    <w:p>
      <w:pPr>
        <w:pStyle w:val="TextBody"/>
        <w:bidi w:val="0"/>
        <w:spacing w:lineRule="auto" w:line="300"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d)          </w:t>
      </w:r>
      <w:r>
        <w:rPr>
          <w:rFonts w:ascii="Times New Roman;Times;serif" w:hAnsi="Times New Roman;Times;serif"/>
          <w:color w:val="000000"/>
          <w:sz w:val="20"/>
          <w:u w:val="single"/>
        </w:rPr>
        <w:t>Transfer Restrictions</w:t>
      </w:r>
      <w:r>
        <w:rPr>
          <w:rFonts w:ascii="Times New Roman;Times;serif" w:hAnsi="Times New Roman;Times;serif"/>
          <w:color w:val="000000"/>
          <w:sz w:val="20"/>
        </w:rPr>
        <w:t>.  If, at the time of the surrender of this Warrant in connection with any transfer of this Warrant, the transfer of this Warrant shall not be either (i) registered pursuant to an effective registration statement under the Securities Act and under applicable state securities or blue sky laws or (ii) eligible for resale without volume or manner-of-sale restrictions or current public information requirements pursuant to Rule 144, the Company may require, as a condition of allowing such transfer, that the Holder or transferee of this Warrant, as the case may be, comply with the provisions of Section 5.7 of the Purchase Agreement.</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e)          </w:t>
      </w:r>
      <w:r>
        <w:rPr>
          <w:rFonts w:ascii="Times New Roman;Times;serif" w:hAnsi="Times New Roman;Times;serif"/>
          <w:color w:val="000000"/>
          <w:sz w:val="20"/>
          <w:u w:val="single"/>
        </w:rPr>
        <w:t>Representation by the Holder</w:t>
      </w:r>
      <w:r>
        <w:rPr>
          <w:rFonts w:ascii="Times New Roman;Times;serif" w:hAnsi="Times New Roman;Times;serif"/>
          <w:color w:val="000000"/>
          <w:sz w:val="20"/>
        </w:rPr>
        <w:t>.  The Holder, by the acceptance hereof, represents and warrants that it is acquiring this Warrant and, upon any exercise hereof, will acquire the Warrant Shares issuable upon such exercise, for its own account and not with a view to or for distributing or reselling such Warrant Shares or any part thereof in violation of the Securities Act or any applicable state securities law, except pursuant to sales registered or exempted under the Securities Act.</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u w:val="single"/>
        </w:rPr>
        <w:t>Section 5</w:t>
      </w:r>
      <w:r>
        <w:rPr>
          <w:rFonts w:ascii="Times New Roman;Times;serif" w:hAnsi="Times New Roman;Times;serif"/>
          <w:color w:val="000000"/>
          <w:sz w:val="20"/>
        </w:rPr>
        <w:t>.          </w:t>
      </w:r>
      <w:r>
        <w:rPr>
          <w:rFonts w:ascii="Times New Roman;Times;serif" w:hAnsi="Times New Roman;Times;serif"/>
          <w:color w:val="000000"/>
          <w:sz w:val="20"/>
          <w:u w:val="single"/>
        </w:rPr>
        <w:t>Miscellaneous</w:t>
      </w:r>
      <w:r>
        <w:rPr>
          <w:rFonts w:ascii="Times New Roman;Times;serif" w:hAnsi="Times New Roman;Times;serif"/>
          <w:color w:val="000000"/>
          <w:sz w:val="20"/>
        </w:rPr>
        <w:t>.</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a)          </w:t>
      </w:r>
      <w:r>
        <w:rPr>
          <w:rFonts w:ascii="Times New Roman;Times;serif" w:hAnsi="Times New Roman;Times;serif"/>
          <w:color w:val="000000"/>
          <w:sz w:val="20"/>
          <w:u w:val="single"/>
        </w:rPr>
        <w:t>No Rights as Shareholder Until Exercise; No Settlement in Cash</w:t>
      </w:r>
      <w:r>
        <w:rPr>
          <w:rFonts w:ascii="Times New Roman;Times;serif" w:hAnsi="Times New Roman;Times;serif"/>
          <w:color w:val="000000"/>
          <w:sz w:val="20"/>
        </w:rPr>
        <w:t>.  This Warrant does not entitle the Holder to any voting rights, dividends or other rights as a shareholder of the Company prior to the exercise hereof as set forth in Section 2(d)(i), except as expressly set forth in Section 3.  Without limiting any rights of a Holder to receive Warrant Shares on a “cashless exercise” pursuant to Section 2(c) or to receive cash payments pursuant to Section 2(d)(i) and Section 2(d)(iv) herein, in no event shall the Company be required to net cash settle an exercise of this Warrant.</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b)          </w:t>
      </w:r>
      <w:r>
        <w:rPr>
          <w:rFonts w:ascii="Times New Roman;Times;serif" w:hAnsi="Times New Roman;Times;serif"/>
          <w:color w:val="000000"/>
          <w:sz w:val="20"/>
          <w:u w:val="single"/>
        </w:rPr>
        <w:t>Loss, Theft, Destruction or Mutilation of Warrant</w:t>
      </w:r>
      <w:r>
        <w:rPr>
          <w:rFonts w:ascii="Times New Roman;Times;serif" w:hAnsi="Times New Roman;Times;serif"/>
          <w:color w:val="000000"/>
          <w:sz w:val="20"/>
        </w:rPr>
        <w:t>.  The Company covenants that upon receipt by the Company of evidence reasonably satisfactory to it of the loss, theft, destruction or mutilation of this Warrant or any share certificate relating to the Warrant Shares, and in case of loss, theft or destruction, of indemnity or security reasonably satisfactory to it (which, in the case of the Warrant, shall not include the posting of any bond), and upon surrender and cancellation of such Warrant or share certificate, if mutilated, the Company will make and deliver a new Warrant or share certificate of like tenor and dated as of such cancellation, in lieu of such Warrant or share certificate.</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c)          </w:t>
      </w:r>
      <w:r>
        <w:rPr>
          <w:rFonts w:ascii="Times New Roman;Times;serif" w:hAnsi="Times New Roman;Times;serif"/>
          <w:color w:val="000000"/>
          <w:sz w:val="20"/>
          <w:u w:val="single"/>
        </w:rPr>
        <w:t>Saturdays, Sundays, Holidays, etc</w:t>
      </w:r>
      <w:r>
        <w:rPr>
          <w:rFonts w:ascii="Times New Roman;Times;serif" w:hAnsi="Times New Roman;Times;serif"/>
          <w:color w:val="000000"/>
          <w:sz w:val="20"/>
        </w:rPr>
        <w:t>.  If the last or appointed day for the taking of any action or the expiration of any right required or granted herein shall not be a Trading Day, then such action may be taken or such right may be exercised on the next succeeding Trading Day.</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d)          </w:t>
      </w:r>
      <w:r>
        <w:rPr>
          <w:rFonts w:ascii="Times New Roman;Times;serif" w:hAnsi="Times New Roman;Times;serif"/>
          <w:color w:val="000000"/>
          <w:sz w:val="20"/>
          <w:u w:val="single"/>
        </w:rPr>
        <w:t>Authorized Shares</w:t>
      </w:r>
      <w:r>
        <w:rPr>
          <w:rFonts w:ascii="Times New Roman;Times;serif" w:hAnsi="Times New Roman;Times;serif"/>
          <w:color w:val="000000"/>
          <w:sz w:val="20"/>
        </w:rPr>
        <w:t>.</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1440" w:right="0" w:firstLine="1440"/>
        <w:jc w:val="both"/>
        <w:rPr>
          <w:rFonts w:ascii="Times New Roman;Times;serif" w:hAnsi="Times New Roman;Times;serif"/>
          <w:color w:val="000000"/>
          <w:sz w:val="20"/>
        </w:rPr>
      </w:pPr>
      <w:r>
        <w:rPr>
          <w:rFonts w:ascii="Times New Roman;Times;serif" w:hAnsi="Times New Roman;Times;serif"/>
          <w:color w:val="000000"/>
          <w:sz w:val="20"/>
        </w:rPr>
        <w:t>The Company covenants that, during the period the Warrant is outstanding, it will reserve from its authorized and unissued Ordinary Shares a sufficient number of shares to provide for the issuance of the Warrant Shares upon the exercise of any purchase rights under this Warrant.  The Company further covenants that its issuance of this Warrant shall constitute full authority to its officers who are charged with the duty of issuing the necessary Warrant Shares upon the exercise of the purchase rights under this Warrant.  The Company will take all such reasonable action as may be necessary to assure that such Warrant Shares may be issued as provided herein without violation of any applicable law or regulation, or of any requirements of the Trading Market upon which the Ordinary Shares may be listed.  The Company covenants that all Warrant Shares which may be issued upon the exercise of the purchase rights represented by this Warrant will, upon exercise of the purchase rights represented by this Warrant and payment for such Warrant Shares in accordance herewith, be duly authorized, validly issued, fully paid and nonassessable and free from all taxes, liens and charges created by the Company in respect of the issue thereof (other than taxes in respect of any transfer occurring contemporaneously with such issue).</w:t>
      </w:r>
    </w:p>
    <w:p>
      <w:pPr>
        <w:pStyle w:val="TextBody"/>
        <w:bidi w:val="0"/>
        <w:spacing w:lineRule="auto" w:line="300"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D - 10</w:t>
      </w:r>
    </w:p>
    <w:p>
      <w:pPr>
        <w:pStyle w:val="HorizontalLine"/>
        <w:pBdr>
          <w:bottom w:val="single" w:sz="12" w:space="0" w:color="808080"/>
        </w:pBdr>
        <w:bidi w:val="0"/>
        <w:spacing w:lineRule="auto" w:line="300" w:before="200" w:after="200"/>
        <w:jc w:val="left"/>
        <w:rPr/>
      </w:pPr>
      <w:r>
        <w:rPr/>
      </w:r>
    </w:p>
    <w:p>
      <w:pPr>
        <w:pStyle w:val="TextBody"/>
        <w:bidi w:val="0"/>
        <w:spacing w:lineRule="auto" w:line="300" w:before="0" w:after="0"/>
        <w:ind w:left="1440" w:right="0" w:firstLine="720"/>
        <w:jc w:val="both"/>
        <w:rPr>
          <w:rFonts w:ascii="Times New Roman;Times;serif" w:hAnsi="Times New Roman;Times;serif"/>
          <w:color w:val="000000"/>
          <w:sz w:val="20"/>
        </w:rPr>
      </w:pPr>
      <w:r>
        <w:rPr>
          <w:rFonts w:ascii="Times New Roman;Times;serif" w:hAnsi="Times New Roman;Times;serif"/>
          <w:color w:val="000000"/>
          <w:sz w:val="20"/>
        </w:rPr>
        <w:t>Except and to the extent as waived or consented to by the Holder, the Company shall not by any action, including, without limitation, amending its articles of association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(i) not increase the par value of any Warrant Shares above the amount payable therefor upon such exercise immediately prior to such increase in par value, (ii) take all such action as may be necessary or appropriate in order that the Company may validly and legally issue fully paid and nonassessable Warrant Shares upon the exercise of this Warrant and (iii) use commercially reasonable efforts to obtain all such authorizations, exemptions or consents from any public regulatory body having jurisdiction thereof, as may be, necessary to enable the Company to perform its obligations under this Warrant.</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1440" w:right="0" w:firstLine="720"/>
        <w:jc w:val="both"/>
        <w:rPr>
          <w:rFonts w:ascii="Times New Roman;Times;serif" w:hAnsi="Times New Roman;Times;serif"/>
          <w:color w:val="000000"/>
          <w:sz w:val="20"/>
        </w:rPr>
      </w:pPr>
      <w:r>
        <w:rPr>
          <w:rFonts w:ascii="Times New Roman;Times;serif" w:hAnsi="Times New Roman;Times;serif"/>
          <w:color w:val="000000"/>
          <w:sz w:val="20"/>
        </w:rPr>
        <w:t>Before taking any action which would result in an adjustment in the number of Warrant Shares for which this Warrant is exercisable or in the Exercise Price, the Company shall obtain all such authorizations or exemptions thereof, or consents thereto, as may be necessary from any public regulatory body or bodies having jurisdiction thereof.</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e)          </w:t>
      </w:r>
      <w:r>
        <w:rPr>
          <w:rFonts w:ascii="Times New Roman;Times;serif" w:hAnsi="Times New Roman;Times;serif"/>
          <w:color w:val="000000"/>
          <w:sz w:val="20"/>
          <w:u w:val="single"/>
        </w:rPr>
        <w:t>Jurisdiction</w:t>
      </w:r>
      <w:r>
        <w:rPr>
          <w:rFonts w:ascii="Times New Roman;Times;serif" w:hAnsi="Times New Roman;Times;serif"/>
          <w:color w:val="000000"/>
          <w:sz w:val="20"/>
        </w:rPr>
        <w:t>.  All questions concerning the construction, validity, enforcement and interpretation of this Warrant shall be determined in accordance with the provisions of the Purchase Agreement.</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f)          </w:t>
      </w:r>
      <w:r>
        <w:rPr>
          <w:rFonts w:ascii="Times New Roman;Times;serif" w:hAnsi="Times New Roman;Times;serif"/>
          <w:color w:val="000000"/>
          <w:sz w:val="20"/>
          <w:u w:val="single"/>
        </w:rPr>
        <w:t>Restrictions</w:t>
      </w:r>
      <w:r>
        <w:rPr>
          <w:rFonts w:ascii="Times New Roman;Times;serif" w:hAnsi="Times New Roman;Times;serif"/>
          <w:color w:val="000000"/>
          <w:sz w:val="20"/>
        </w:rPr>
        <w:t>.  The Holder acknowledges that the Warrant Shares acquired upon the exercise of this Warrant, if not registered, and the Holder does not utilize cashless exercise, will have restrictions upon resale imposed by state and federal securities laws.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g)          </w:t>
      </w:r>
      <w:r>
        <w:rPr>
          <w:rFonts w:ascii="Times New Roman;Times;serif" w:hAnsi="Times New Roman;Times;serif"/>
          <w:color w:val="000000"/>
          <w:sz w:val="20"/>
          <w:u w:val="single"/>
        </w:rPr>
        <w:t>Nonwaiver and Expenses</w:t>
      </w:r>
      <w:r>
        <w:rPr>
          <w:rFonts w:ascii="Times New Roman;Times;serif" w:hAnsi="Times New Roman;Times;serif"/>
          <w:color w:val="000000"/>
          <w:sz w:val="20"/>
        </w:rPr>
        <w:t>.  No course of dealing or any delay or failure to exercise any right hereunder on the part of Holder shall operate as a waiver of such right or otherwise prejudice the Holder’s rights, powers or remedies, notwithstanding the fact that the right to exercise this Warrant terminates on the Termination Date.  Without limiting any other provision of this Warrant or the Purchase Agreement, if the Company willfully and knowingly fails to comply with any provision of this Warrant, which results in any material damages to the Holder, the Company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 hereunder.</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h)          </w:t>
      </w:r>
      <w:r>
        <w:rPr>
          <w:rFonts w:ascii="Times New Roman;Times;serif" w:hAnsi="Times New Roman;Times;serif"/>
          <w:color w:val="000000"/>
          <w:sz w:val="20"/>
          <w:u w:val="single"/>
        </w:rPr>
        <w:t>Notices</w:t>
      </w:r>
      <w:r>
        <w:rPr>
          <w:rFonts w:ascii="Times New Roman;Times;serif" w:hAnsi="Times New Roman;Times;serif"/>
          <w:color w:val="000000"/>
          <w:sz w:val="20"/>
        </w:rPr>
        <w:t>.  Any notice, request or other document required or permitted to be given or delivered to the Holder by the Company shall be delivered in accordance with the notice provisions of the Purchase Agreement.</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i)          </w:t>
      </w:r>
      <w:r>
        <w:rPr>
          <w:rFonts w:ascii="Times New Roman;Times;serif" w:hAnsi="Times New Roman;Times;serif"/>
          <w:color w:val="000000"/>
          <w:sz w:val="20"/>
          <w:u w:val="single"/>
        </w:rPr>
        <w:t>Limitation of Liability</w:t>
      </w:r>
      <w:r>
        <w:rPr>
          <w:rFonts w:ascii="Times New Roman;Times;serif" w:hAnsi="Times New Roman;Times;serif"/>
          <w:color w:val="000000"/>
          <w:sz w:val="20"/>
        </w:rPr>
        <w:t>.  No provision hereof, in the absence of any affirmative action by the Holder to exercise this Warrant to purchase Warrant Shares, and no enumeration herein of the rights or privileges of the Holder, shall give rise to any liability of the Holder for the purchase price of any Ordinary Shares or as a shareholder of the Company, whether such liability is asserted by the Company or by creditors of the Company.</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j)          </w:t>
      </w:r>
      <w:r>
        <w:rPr>
          <w:rFonts w:ascii="Times New Roman;Times;serif" w:hAnsi="Times New Roman;Times;serif"/>
          <w:color w:val="000000"/>
          <w:sz w:val="20"/>
          <w:u w:val="single"/>
        </w:rPr>
        <w:t>Remedies</w:t>
      </w:r>
      <w:r>
        <w:rPr>
          <w:rFonts w:ascii="Times New Roman;Times;serif" w:hAnsi="Times New Roman;Times;serif"/>
          <w:color w:val="000000"/>
          <w:sz w:val="20"/>
        </w:rPr>
        <w:t>.  The Holder, in addition to being entitled to exercise all rights granted by law, including recovery of damages, will be entitled to specific performance of its rights under this Warrant.  The Company agrees that monetary damages would not be adequate compensation for any loss incurred by reason of a breach by it of the provisions of this Warrant and hereby agrees to waive and not to assert the defense in any action for specific performance that a remedy at law would be adequate.</w:t>
      </w:r>
    </w:p>
    <w:p>
      <w:pPr>
        <w:pStyle w:val="TextBody"/>
        <w:bidi w:val="0"/>
        <w:spacing w:lineRule="auto" w:line="300"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D - 11</w:t>
      </w:r>
    </w:p>
    <w:p>
      <w:pPr>
        <w:pStyle w:val="HorizontalLine"/>
        <w:pBdr>
          <w:bottom w:val="single" w:sz="12" w:space="0" w:color="808080"/>
        </w:pBdr>
        <w:bidi w:val="0"/>
        <w:spacing w:lineRule="auto" w:line="300" w:before="200" w:after="200"/>
        <w:jc w:val="left"/>
        <w:rPr/>
      </w:pPr>
      <w:r>
        <w:rPr/>
      </w:r>
    </w:p>
    <w:p>
      <w:pPr>
        <w:pStyle w:val="TextBody"/>
        <w:bidi w:val="0"/>
        <w:spacing w:lineRule="auto" w:line="300"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k)          </w:t>
      </w:r>
      <w:r>
        <w:rPr>
          <w:rFonts w:ascii="Times New Roman;Times;serif" w:hAnsi="Times New Roman;Times;serif"/>
          <w:color w:val="000000"/>
          <w:sz w:val="20"/>
          <w:u w:val="single"/>
        </w:rPr>
        <w:t>Successors and Assigns</w:t>
      </w:r>
      <w:r>
        <w:rPr>
          <w:rFonts w:ascii="Times New Roman;Times;serif" w:hAnsi="Times New Roman;Times;serif"/>
          <w:color w:val="000000"/>
          <w:sz w:val="20"/>
        </w:rPr>
        <w:t>.  Subject to applicable securities laws, this Warrant and the rights and obligations evidenced hereby shall inure to the benefit of and be binding upon the successors and permitted assigns of the Company and the successors and permitted assigns of Holder.  The provisions of this Warrant are intended to be for the benefit of any Holder from time to time of this Warrant and shall be enforceable by the Holder or holder of Warrant Shares.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l)          </w:t>
      </w:r>
      <w:r>
        <w:rPr>
          <w:rFonts w:ascii="Times New Roman;Times;serif" w:hAnsi="Times New Roman;Times;serif"/>
          <w:color w:val="000000"/>
          <w:sz w:val="20"/>
          <w:u w:val="single"/>
        </w:rPr>
        <w:t>Amendment</w:t>
      </w:r>
      <w:r>
        <w:rPr>
          <w:rFonts w:ascii="Times New Roman;Times;serif" w:hAnsi="Times New Roman;Times;serif"/>
          <w:color w:val="000000"/>
          <w:sz w:val="20"/>
        </w:rPr>
        <w:t>.  Other than Section 2(e) and this Section 5(l), which may not be modified, amended or waived, this Warrant may be modified or amended or the provisions hereof waived with the written consent of the Company, on the one hand, and the Holder of this Warrant, on the other hand.  Additionally, any waiver to any of the Warrants by the Majority Holders, or any amendment to the Warrants as agreed upon in writing by the Company and the Majority Holders, shall automatically apply to this Warrant.</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m)          </w:t>
      </w:r>
      <w:r>
        <w:rPr>
          <w:rFonts w:ascii="Times New Roman;Times;serif" w:hAnsi="Times New Roman;Times;serif"/>
          <w:color w:val="000000"/>
          <w:sz w:val="20"/>
          <w:u w:val="single"/>
        </w:rPr>
        <w:t>Severability</w:t>
      </w:r>
      <w:r>
        <w:rPr>
          <w:rFonts w:ascii="Times New Roman;Times;serif" w:hAnsi="Times New Roman;Times;serif"/>
          <w:color w:val="000000"/>
          <w:sz w:val="20"/>
        </w:rPr>
        <w:t>.  Wherever possible, each provision of this Warrant shall be interpreted in such manner as to be effective and valid under applicable law, but if any provision of this Warrant shall be prohibited by or invalid under applicable law, such provision shall be ineffective to the extent of such prohibition or invalidity, without invalidating the remainder of such provisions or the remaining provisions of this Warrant.</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720" w:right="0" w:firstLine="720"/>
        <w:jc w:val="both"/>
        <w:rPr>
          <w:rFonts w:ascii="Times New Roman;Times;serif" w:hAnsi="Times New Roman;Times;serif"/>
          <w:color w:val="000000"/>
          <w:sz w:val="20"/>
        </w:rPr>
      </w:pPr>
      <w:r>
        <w:rPr>
          <w:rFonts w:ascii="Times New Roman;Times;serif" w:hAnsi="Times New Roman;Times;serif"/>
          <w:color w:val="000000"/>
          <w:sz w:val="20"/>
        </w:rPr>
        <w:t>n)          </w:t>
      </w:r>
      <w:r>
        <w:rPr>
          <w:rFonts w:ascii="Times New Roman;Times;serif" w:hAnsi="Times New Roman;Times;serif"/>
          <w:color w:val="000000"/>
          <w:sz w:val="20"/>
          <w:u w:val="single"/>
        </w:rPr>
        <w:t>Headings</w:t>
      </w:r>
      <w:r>
        <w:rPr>
          <w:rFonts w:ascii="Times New Roman;Times;serif" w:hAnsi="Times New Roman;Times;serif"/>
          <w:color w:val="000000"/>
          <w:sz w:val="20"/>
        </w:rPr>
        <w:t>.  The headings used in this Warrant are for the convenience of reference only and shall not, for any purpose, be deemed a part of this Warrant.</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center"/>
        <w:rPr>
          <w:rFonts w:ascii="Times New Roman;Times;serif" w:hAnsi="Times New Roman;Times;serif"/>
          <w:color w:val="000000"/>
          <w:sz w:val="20"/>
        </w:rPr>
      </w:pPr>
      <w:r>
        <w:rPr>
          <w:rFonts w:ascii="Times New Roman;Times;serif" w:hAnsi="Times New Roman;Times;serif"/>
          <w:color w:val="000000"/>
          <w:sz w:val="20"/>
        </w:rPr>
        <w:t>********************</w:t>
      </w:r>
    </w:p>
    <w:p>
      <w:pPr>
        <w:pStyle w:val="TextBody"/>
        <w:bidi w:val="0"/>
        <w:spacing w:lineRule="auto" w:line="300" w:before="0" w:after="0"/>
        <w:jc w:val="left"/>
        <w:rPr/>
      </w:pPr>
      <w:r>
        <w:rPr/>
      </w:r>
    </w:p>
    <w:p>
      <w:pPr>
        <w:pStyle w:val="TextBody"/>
        <w:bidi w:val="0"/>
        <w:spacing w:lineRule="auto" w:line="300" w:before="0" w:after="0"/>
        <w:jc w:val="center"/>
        <w:rPr>
          <w:rFonts w:ascii="Times New Roman;Times;serif" w:hAnsi="Times New Roman;Times;serif"/>
          <w:i/>
          <w:color w:val="000000"/>
          <w:sz w:val="20"/>
        </w:rPr>
      </w:pPr>
      <w:r>
        <w:rPr>
          <w:rFonts w:ascii="Times New Roman;Times;serif" w:hAnsi="Times New Roman;Times;serif"/>
          <w:i/>
          <w:color w:val="000000"/>
          <w:sz w:val="20"/>
        </w:rPr>
        <w:t>(Signature Page Follows)</w:t>
      </w:r>
    </w:p>
    <w:p>
      <w:pPr>
        <w:pStyle w:val="TextBody"/>
        <w:bidi w:val="0"/>
        <w:spacing w:lineRule="auto" w:line="300"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D - 12</w:t>
      </w:r>
    </w:p>
    <w:p>
      <w:pPr>
        <w:pStyle w:val="HorizontalLine"/>
        <w:pBdr>
          <w:bottom w:val="single" w:sz="12" w:space="0" w:color="808080"/>
        </w:pBdr>
        <w:bidi w:val="0"/>
        <w:spacing w:lineRule="auto" w:line="300" w:before="200" w:after="200"/>
        <w:jc w:val="left"/>
        <w:rPr/>
      </w:pPr>
      <w:r>
        <w:rPr/>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IN WITNESS WHEREOF, the Company has caused this Warrant to be executed by its officer thereunto duly authorized as of the date first above indicated.</w:t>
      </w:r>
    </w:p>
    <w:p>
      <w:pPr>
        <w:pStyle w:val="TextBody"/>
        <w:bidi w:val="0"/>
        <w:spacing w:lineRule="auto" w:line="300" w:before="0" w:after="0"/>
        <w:jc w:val="left"/>
        <w:rPr>
          <w:color w:val="000000"/>
        </w:rPr>
      </w:pPr>
      <w:r>
        <w:rPr>
          <w:color w:val="000000"/>
        </w:rPr>
        <w:t> </w:t>
      </w:r>
    </w:p>
    <w:tbl>
      <w:tblPr>
        <w:tblW w:w="4835" w:type="dxa"/>
        <w:jc w:val="left"/>
        <w:tblInd w:w="0" w:type="dxa"/>
        <w:tblLayout w:type="fixed"/>
        <w:tblCellMar>
          <w:top w:w="0" w:type="dxa"/>
          <w:left w:w="0" w:type="dxa"/>
          <w:bottom w:w="0" w:type="dxa"/>
          <w:right w:w="0" w:type="dxa"/>
        </w:tblCellMar>
      </w:tblPr>
      <w:tblGrid>
        <w:gridCol w:w="60"/>
        <w:gridCol w:w="4775"/>
      </w:tblGrid>
      <w:tr>
        <w:trPr/>
        <w:tc>
          <w:tcPr>
            <w:tcW w:w="60" w:type="dxa"/>
            <w:tcBorders/>
            <w:vAlign w:val="center"/>
          </w:tcPr>
          <w:p>
            <w:pPr>
              <w:pStyle w:val="TableContents"/>
              <w:bidi w:val="0"/>
              <w:spacing w:before="0" w:after="283"/>
              <w:jc w:val="left"/>
              <w:rPr/>
            </w:pPr>
            <w:r>
              <w:rPr/>
              <w:t> </w:t>
            </w:r>
          </w:p>
        </w:tc>
        <w:tc>
          <w:tcPr>
            <w:tcW w:w="4775" w:type="dxa"/>
            <w:tcBorders/>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LIFEWARD LTD.</w:t>
            </w:r>
          </w:p>
        </w:tc>
      </w:tr>
      <w:tr>
        <w:trPr/>
        <w:tc>
          <w:tcPr>
            <w:tcW w:w="60" w:type="dxa"/>
            <w:tcBorders/>
            <w:vAlign w:val="center"/>
          </w:tcPr>
          <w:p>
            <w:pPr>
              <w:pStyle w:val="TableContents"/>
              <w:bidi w:val="0"/>
              <w:spacing w:before="0" w:after="283"/>
              <w:jc w:val="left"/>
              <w:rPr/>
            </w:pPr>
            <w:r>
              <w:rPr/>
              <w:t> </w:t>
            </w:r>
          </w:p>
        </w:tc>
        <w:tc>
          <w:tcPr>
            <w:tcW w:w="477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477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By: __________________________________________</w:t>
            </w:r>
          </w:p>
          <w:p>
            <w:pPr>
              <w:pStyle w:val="TableContents"/>
              <w:bidi w:val="0"/>
              <w:spacing w:lineRule="auto" w:line="300" w:before="0" w:after="0"/>
              <w:jc w:val="left"/>
              <w:rPr/>
            </w:pPr>
            <w:r>
              <w:rPr/>
              <w:t>     </w:t>
            </w:r>
            <w:r>
              <w:rPr>
                <w:rFonts w:ascii="Times New Roman;Times;serif" w:hAnsi="Times New Roman;Times;serif"/>
                <w:sz w:val="20"/>
              </w:rPr>
              <w:t>Name: William Mark Grant</w:t>
            </w:r>
          </w:p>
          <w:p>
            <w:pPr>
              <w:pStyle w:val="TableContents"/>
              <w:bidi w:val="0"/>
              <w:spacing w:lineRule="auto" w:line="300" w:before="0" w:after="0"/>
              <w:jc w:val="left"/>
              <w:rPr/>
            </w:pPr>
            <w:r>
              <w:rPr/>
              <w:t>     </w:t>
            </w:r>
            <w:r>
              <w:rPr>
                <w:rFonts w:ascii="Times New Roman;Times;serif" w:hAnsi="Times New Roman;Times;serif"/>
                <w:sz w:val="20"/>
              </w:rPr>
              <w:t>Title: President and Chief Executive Officer</w:t>
            </w:r>
          </w:p>
        </w:tc>
      </w:tr>
    </w:tbl>
    <w:p>
      <w:pPr>
        <w:pStyle w:val="TextBody"/>
        <w:bidi w:val="0"/>
        <w:spacing w:lineRule="auto" w:line="300" w:before="0" w:after="0"/>
        <w:jc w:val="left"/>
        <w:rPr/>
      </w:pPr>
      <w:r>
        <w:rPr/>
      </w:r>
    </w:p>
    <w:p>
      <w:pPr>
        <w:pStyle w:val="HorizontalLine"/>
        <w:pBdr>
          <w:bottom w:val="single" w:sz="12" w:space="0" w:color="808080"/>
        </w:pBdr>
        <w:bidi w:val="0"/>
        <w:spacing w:lineRule="auto" w:line="300" w:before="200" w:after="200"/>
        <w:jc w:val="left"/>
        <w:rPr/>
      </w:pPr>
      <w:r>
        <w:rPr/>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NOTICE OF EXERCISE</w:t>
      </w:r>
    </w:p>
    <w:p>
      <w:pPr>
        <w:pStyle w:val="TextBody"/>
        <w:bidi w:val="0"/>
        <w:spacing w:lineRule="auto" w:line="300" w:before="0" w:after="0"/>
        <w:jc w:val="left"/>
        <w:rPr/>
      </w:pPr>
      <w:r>
        <w:rPr/>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TO:          [_______________________]</w:t>
      </w:r>
    </w:p>
    <w:p>
      <w:pPr>
        <w:pStyle w:val="TextBody"/>
        <w:bidi w:val="0"/>
        <w:spacing w:lineRule="auto" w:line="300" w:before="0" w:after="0"/>
        <w:jc w:val="left"/>
        <w:rPr/>
      </w:pPr>
      <w:r>
        <w:rPr/>
      </w:r>
    </w:p>
    <w:p>
      <w:pPr>
        <w:pStyle w:val="TextBody"/>
        <w:bidi w:val="0"/>
        <w:spacing w:lineRule="auto" w:line="300" w:before="0" w:after="0"/>
        <w:ind w:left="0" w:right="0" w:firstLine="1440"/>
        <w:jc w:val="both"/>
        <w:rPr>
          <w:rFonts w:ascii="Times New Roman;Times;serif" w:hAnsi="Times New Roman;Times;serif"/>
          <w:color w:val="000000"/>
          <w:sz w:val="20"/>
        </w:rPr>
      </w:pPr>
      <w:r>
        <w:rPr>
          <w:rFonts w:ascii="Times New Roman;Times;serif" w:hAnsi="Times New Roman;Times;serif"/>
          <w:color w:val="000000"/>
          <w:sz w:val="20"/>
        </w:rPr>
        <w:t>(1)          The undersigned hereby elects to purchase ________ Warrant Shares of the Company pursuant to the terms of the attached Warrant (only if exercised in full), and tenders herewith payment of the exercise price in full, together with all applicable transfer taxes, if any.</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1440"/>
        <w:jc w:val="both"/>
        <w:rPr>
          <w:rFonts w:ascii="Times New Roman;Times;serif" w:hAnsi="Times New Roman;Times;serif"/>
          <w:color w:val="000000"/>
          <w:sz w:val="20"/>
        </w:rPr>
      </w:pPr>
      <w:r>
        <w:rPr>
          <w:rFonts w:ascii="Times New Roman;Times;serif" w:hAnsi="Times New Roman;Times;serif"/>
          <w:color w:val="000000"/>
          <w:sz w:val="20"/>
        </w:rPr>
        <w:t>(2)          Payment shall take the form of (check applicable box):</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2160" w:right="0" w:hanging="0"/>
        <w:jc w:val="both"/>
        <w:rPr>
          <w:rFonts w:ascii="Times New Roman;Times;serif" w:hAnsi="Times New Roman;Times;serif"/>
          <w:color w:val="000000"/>
          <w:sz w:val="20"/>
        </w:rPr>
      </w:pPr>
      <w:r>
        <w:rPr>
          <w:rFonts w:ascii="Times New Roman;Times;serif" w:hAnsi="Times New Roman;Times;serif"/>
          <w:color w:val="000000"/>
          <w:sz w:val="20"/>
        </w:rPr>
        <w:t>[  ] in lawful money of the United States; or</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2160" w:right="0" w:hanging="0"/>
        <w:jc w:val="both"/>
        <w:rPr>
          <w:rFonts w:ascii="Times New Roman;Times;serif" w:hAnsi="Times New Roman;Times;serif"/>
          <w:color w:val="000000"/>
          <w:sz w:val="20"/>
        </w:rPr>
      </w:pPr>
      <w:r>
        <w:rPr>
          <w:rFonts w:ascii="Times New Roman;Times;serif" w:hAnsi="Times New Roman;Times;serif"/>
          <w:color w:val="000000"/>
          <w:sz w:val="20"/>
        </w:rPr>
        <w:t>[  ] the cancellation of such number of Warrant Shares as is necessary, in accordance with the formula set forth in subsection 2(c), to exercise this Warrant with respect to the maximum number of Warrant Shares purchasable pursuant to the cashless exercise procedure set forth in subsection 2(c).</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1440"/>
        <w:jc w:val="both"/>
        <w:rPr>
          <w:rFonts w:ascii="Times New Roman;Times;serif" w:hAnsi="Times New Roman;Times;serif"/>
          <w:color w:val="000000"/>
          <w:sz w:val="20"/>
        </w:rPr>
      </w:pPr>
      <w:r>
        <w:rPr>
          <w:rFonts w:ascii="Times New Roman;Times;serif" w:hAnsi="Times New Roman;Times;serif"/>
          <w:color w:val="000000"/>
          <w:sz w:val="20"/>
        </w:rPr>
        <w:t>(3)          Please issue said Warrant Shares in the name of the undersigned or in such other name as is specified below:</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2160"/>
        <w:jc w:val="both"/>
        <w:rPr>
          <w:rFonts w:ascii="Times New Roman;Times;serif" w:hAnsi="Times New Roman;Times;serif"/>
          <w:color w:val="000000"/>
          <w:sz w:val="20"/>
        </w:rPr>
      </w:pPr>
      <w:r>
        <w:rPr>
          <w:rFonts w:ascii="Times New Roman;Times;serif" w:hAnsi="Times New Roman;Times;serif"/>
          <w:color w:val="000000"/>
          <w:sz w:val="20"/>
        </w:rPr>
        <w:t>_______________________________</w:t>
      </w:r>
    </w:p>
    <w:p>
      <w:pPr>
        <w:pStyle w:val="TextBody"/>
        <w:bidi w:val="0"/>
        <w:spacing w:lineRule="auto" w:line="300" w:before="0" w:after="0"/>
        <w:jc w:val="left"/>
        <w:rPr/>
      </w:pPr>
      <w:r>
        <w:rPr/>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The Warrant Shares shall be delivered to the following DWAC Account Number:</w:t>
      </w:r>
    </w:p>
    <w:p>
      <w:pPr>
        <w:pStyle w:val="TextBody"/>
        <w:bidi w:val="0"/>
        <w:spacing w:lineRule="auto" w:line="300" w:before="0" w:after="0"/>
        <w:jc w:val="left"/>
        <w:rPr/>
      </w:pPr>
      <w:r>
        <w:rPr/>
      </w:r>
    </w:p>
    <w:p>
      <w:pPr>
        <w:pStyle w:val="TextBody"/>
        <w:bidi w:val="0"/>
        <w:spacing w:lineRule="auto" w:line="300" w:before="0" w:after="0"/>
        <w:ind w:left="0" w:right="0" w:firstLine="2160"/>
        <w:jc w:val="both"/>
        <w:rPr>
          <w:rFonts w:ascii="Times New Roman;Times;serif" w:hAnsi="Times New Roman;Times;serif"/>
          <w:color w:val="000000"/>
          <w:sz w:val="20"/>
        </w:rPr>
      </w:pPr>
      <w:r>
        <w:rPr>
          <w:rFonts w:ascii="Times New Roman;Times;serif" w:hAnsi="Times New Roman;Times;serif"/>
          <w:color w:val="000000"/>
          <w:sz w:val="20"/>
        </w:rPr>
        <w:t>_______________________________</w:t>
      </w:r>
    </w:p>
    <w:p>
      <w:pPr>
        <w:pStyle w:val="TextBody"/>
        <w:bidi w:val="0"/>
        <w:spacing w:lineRule="auto" w:line="300" w:before="0" w:after="0"/>
        <w:jc w:val="left"/>
        <w:rPr/>
      </w:pPr>
      <w:r>
        <w:rPr/>
      </w:r>
    </w:p>
    <w:p>
      <w:pPr>
        <w:pStyle w:val="TextBody"/>
        <w:bidi w:val="0"/>
        <w:spacing w:lineRule="auto" w:line="300" w:before="0" w:after="0"/>
        <w:ind w:left="0" w:right="0" w:firstLine="2160"/>
        <w:jc w:val="both"/>
        <w:rPr>
          <w:rFonts w:ascii="Times New Roman;Times;serif" w:hAnsi="Times New Roman;Times;serif"/>
          <w:color w:val="000000"/>
          <w:sz w:val="20"/>
        </w:rPr>
      </w:pPr>
      <w:r>
        <w:rPr>
          <w:rFonts w:ascii="Times New Roman;Times;serif" w:hAnsi="Times New Roman;Times;serif"/>
          <w:color w:val="000000"/>
          <w:sz w:val="20"/>
        </w:rPr>
        <w:t>_______________________________</w:t>
      </w:r>
    </w:p>
    <w:p>
      <w:pPr>
        <w:pStyle w:val="TextBody"/>
        <w:bidi w:val="0"/>
        <w:spacing w:lineRule="auto" w:line="300" w:before="0" w:after="0"/>
        <w:jc w:val="left"/>
        <w:rPr/>
      </w:pPr>
      <w:r>
        <w:rPr/>
      </w:r>
    </w:p>
    <w:p>
      <w:pPr>
        <w:pStyle w:val="TextBody"/>
        <w:bidi w:val="0"/>
        <w:spacing w:lineRule="auto" w:line="300" w:before="0" w:after="0"/>
        <w:ind w:left="0" w:right="0" w:firstLine="2160"/>
        <w:jc w:val="both"/>
        <w:rPr>
          <w:rFonts w:ascii="Times New Roman;Times;serif" w:hAnsi="Times New Roman;Times;serif"/>
          <w:color w:val="000000"/>
          <w:sz w:val="20"/>
        </w:rPr>
      </w:pPr>
      <w:r>
        <w:rPr>
          <w:rFonts w:ascii="Times New Roman;Times;serif" w:hAnsi="Times New Roman;Times;serif"/>
          <w:color w:val="000000"/>
          <w:sz w:val="20"/>
        </w:rPr>
        <w:t>_______________________________</w:t>
      </w:r>
    </w:p>
    <w:p>
      <w:pPr>
        <w:pStyle w:val="TextBody"/>
        <w:bidi w:val="0"/>
        <w:spacing w:lineRule="auto" w:line="300" w:before="0" w:after="0"/>
        <w:jc w:val="left"/>
        <w:rPr/>
      </w:pPr>
      <w:r>
        <w:rPr/>
      </w:r>
    </w:p>
    <w:p>
      <w:pPr>
        <w:pStyle w:val="TextBody"/>
        <w:bidi w:val="0"/>
        <w:spacing w:lineRule="auto" w:line="300" w:before="0" w:after="0"/>
        <w:ind w:left="0" w:right="0" w:firstLine="1440"/>
        <w:jc w:val="both"/>
        <w:rPr>
          <w:rFonts w:ascii="Times New Roman;Times;serif" w:hAnsi="Times New Roman;Times;serif"/>
          <w:color w:val="000000"/>
          <w:sz w:val="20"/>
        </w:rPr>
      </w:pPr>
      <w:r>
        <w:rPr>
          <w:rFonts w:ascii="Times New Roman;Times;serif" w:hAnsi="Times New Roman;Times;serif"/>
          <w:color w:val="000000"/>
          <w:sz w:val="20"/>
        </w:rPr>
        <w:t>(4)          </w:t>
      </w:r>
      <w:r>
        <w:rPr>
          <w:rFonts w:ascii="Times New Roman;Times;serif" w:hAnsi="Times New Roman;Times;serif"/>
          <w:color w:val="000000"/>
          <w:sz w:val="20"/>
          <w:u w:val="single"/>
        </w:rPr>
        <w:t>Accredited Investor</w:t>
      </w:r>
      <w:r>
        <w:rPr>
          <w:rFonts w:ascii="Times New Roman;Times;serif" w:hAnsi="Times New Roman;Times;serif"/>
          <w:color w:val="000000"/>
          <w:sz w:val="20"/>
        </w:rPr>
        <w:t>.  The undersigned is an “accredited investor” as defined in Regulation D promulgated under the Securities Act of 1933, as amended.</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[SIGNATURE OF HOLDER]</w:t>
      </w:r>
    </w:p>
    <w:p>
      <w:pPr>
        <w:pStyle w:val="TextBody"/>
        <w:bidi w:val="0"/>
        <w:spacing w:lineRule="auto" w:line="300" w:before="0" w:after="0"/>
        <w:jc w:val="left"/>
        <w:rPr/>
      </w:pPr>
      <w:r>
        <w:rPr/>
      </w:r>
    </w:p>
    <w:tbl>
      <w:tblPr>
        <w:tblW w:w="2525" w:type="dxa"/>
        <w:jc w:val="left"/>
        <w:tblInd w:w="0" w:type="dxa"/>
        <w:tblLayout w:type="fixed"/>
        <w:tblCellMar>
          <w:top w:w="0" w:type="dxa"/>
          <w:left w:w="0" w:type="dxa"/>
          <w:bottom w:w="0" w:type="dxa"/>
          <w:right w:w="0" w:type="dxa"/>
        </w:tblCellMar>
      </w:tblPr>
      <w:tblGrid>
        <w:gridCol w:w="2465"/>
        <w:gridCol w:w="60"/>
      </w:tblGrid>
      <w:tr>
        <w:trPr/>
        <w:tc>
          <w:tcPr>
            <w:tcW w:w="2465" w:type="dxa"/>
            <w:tcBorders/>
            <w:vAlign w:val="center"/>
          </w:tcPr>
          <w:p>
            <w:pPr>
              <w:pStyle w:val="TableContents"/>
              <w:bidi w:val="0"/>
              <w:spacing w:before="0" w:after="283"/>
              <w:jc w:val="left"/>
              <w:rPr/>
            </w:pPr>
            <w:r>
              <w:rPr/>
              <w:t>Name of Investing Entity:</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bl>
    <w:tbl>
      <w:tblPr>
        <w:tblW w:w="4505" w:type="dxa"/>
        <w:jc w:val="left"/>
        <w:tblInd w:w="0" w:type="dxa"/>
        <w:tblLayout w:type="fixed"/>
        <w:tblCellMar>
          <w:top w:w="0" w:type="dxa"/>
          <w:left w:w="0" w:type="dxa"/>
          <w:bottom w:w="0" w:type="dxa"/>
          <w:right w:w="0" w:type="dxa"/>
        </w:tblCellMar>
      </w:tblPr>
      <w:tblGrid>
        <w:gridCol w:w="4445"/>
        <w:gridCol w:w="60"/>
      </w:tblGrid>
      <w:tr>
        <w:trPr/>
        <w:tc>
          <w:tcPr>
            <w:tcW w:w="4445" w:type="dxa"/>
            <w:tcBorders/>
            <w:vAlign w:val="center"/>
          </w:tcPr>
          <w:p>
            <w:pPr>
              <w:pStyle w:val="TableContents"/>
              <w:bidi w:val="0"/>
              <w:spacing w:before="0" w:after="283"/>
              <w:jc w:val="left"/>
              <w:rPr/>
            </w:pPr>
            <w:r>
              <w:rPr>
                <w:rFonts w:ascii="Times New Roman;Times;serif" w:hAnsi="Times New Roman;Times;serif"/>
                <w:i/>
                <w:sz w:val="20"/>
              </w:rPr>
              <w:t>Signature of Authorized Signatory of Investing Entity</w:t>
            </w:r>
            <w:r>
              <w:rPr/>
              <w:t>:</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bl>
    <w:tbl>
      <w:tblPr>
        <w:tblW w:w="3065" w:type="dxa"/>
        <w:jc w:val="left"/>
        <w:tblInd w:w="0" w:type="dxa"/>
        <w:tblLayout w:type="fixed"/>
        <w:tblCellMar>
          <w:top w:w="0" w:type="dxa"/>
          <w:left w:w="0" w:type="dxa"/>
          <w:bottom w:w="0" w:type="dxa"/>
          <w:right w:w="0" w:type="dxa"/>
        </w:tblCellMar>
      </w:tblPr>
      <w:tblGrid>
        <w:gridCol w:w="3005"/>
        <w:gridCol w:w="60"/>
      </w:tblGrid>
      <w:tr>
        <w:trPr/>
        <w:tc>
          <w:tcPr>
            <w:tcW w:w="3005" w:type="dxa"/>
            <w:tcBorders/>
            <w:vAlign w:val="center"/>
          </w:tcPr>
          <w:p>
            <w:pPr>
              <w:pStyle w:val="TableContents"/>
              <w:bidi w:val="0"/>
              <w:spacing w:before="0" w:after="283"/>
              <w:jc w:val="left"/>
              <w:rPr/>
            </w:pPr>
            <w:r>
              <w:rPr/>
              <w:t>Name of Authorized Signatory:</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bl>
    <w:tbl>
      <w:tblPr>
        <w:tblW w:w="2930" w:type="dxa"/>
        <w:jc w:val="left"/>
        <w:tblInd w:w="0" w:type="dxa"/>
        <w:tblLayout w:type="fixed"/>
        <w:tblCellMar>
          <w:top w:w="0" w:type="dxa"/>
          <w:left w:w="0" w:type="dxa"/>
          <w:bottom w:w="0" w:type="dxa"/>
          <w:right w:w="0" w:type="dxa"/>
        </w:tblCellMar>
      </w:tblPr>
      <w:tblGrid>
        <w:gridCol w:w="2870"/>
        <w:gridCol w:w="60"/>
      </w:tblGrid>
      <w:tr>
        <w:trPr/>
        <w:tc>
          <w:tcPr>
            <w:tcW w:w="2870" w:type="dxa"/>
            <w:tcBorders/>
            <w:vAlign w:val="center"/>
          </w:tcPr>
          <w:p>
            <w:pPr>
              <w:pStyle w:val="TableContents"/>
              <w:bidi w:val="0"/>
              <w:spacing w:before="0" w:after="283"/>
              <w:jc w:val="left"/>
              <w:rPr/>
            </w:pPr>
            <w:r>
              <w:rPr/>
              <w:t>Title of Authorized Signatory:</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bl>
    <w:tbl>
      <w:tblPr>
        <w:tblW w:w="590" w:type="dxa"/>
        <w:jc w:val="left"/>
        <w:tblInd w:w="0" w:type="dxa"/>
        <w:tblLayout w:type="fixed"/>
        <w:tblCellMar>
          <w:top w:w="0" w:type="dxa"/>
          <w:left w:w="0" w:type="dxa"/>
          <w:bottom w:w="0" w:type="dxa"/>
          <w:right w:w="0" w:type="dxa"/>
        </w:tblCellMar>
      </w:tblPr>
      <w:tblGrid>
        <w:gridCol w:w="530"/>
        <w:gridCol w:w="60"/>
      </w:tblGrid>
      <w:tr>
        <w:trPr/>
        <w:tc>
          <w:tcPr>
            <w:tcW w:w="530" w:type="dxa"/>
            <w:tcBorders/>
            <w:vAlign w:val="center"/>
          </w:tcPr>
          <w:p>
            <w:pPr>
              <w:pStyle w:val="TableContents"/>
              <w:bidi w:val="0"/>
              <w:spacing w:before="0" w:after="283"/>
              <w:jc w:val="left"/>
              <w:rPr/>
            </w:pPr>
            <w:r>
              <w:rPr/>
              <w:t>Date:</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bl>
    <w:p>
      <w:pPr>
        <w:pStyle w:val="TextBody"/>
        <w:bidi w:val="0"/>
        <w:spacing w:lineRule="auto" w:line="300" w:before="0" w:after="0"/>
        <w:jc w:val="left"/>
        <w:rPr/>
      </w:pPr>
      <w:r>
        <w:rPr/>
      </w:r>
    </w:p>
    <w:p>
      <w:pPr>
        <w:pStyle w:val="HorizontalLine"/>
        <w:pBdr>
          <w:bottom w:val="single" w:sz="12" w:space="0" w:color="808080"/>
        </w:pBdr>
        <w:bidi w:val="0"/>
        <w:spacing w:lineRule="auto" w:line="300" w:before="200" w:after="200"/>
        <w:jc w:val="left"/>
        <w:rPr/>
      </w:pPr>
      <w:r>
        <w:rPr/>
      </w:r>
    </w:p>
    <w:p>
      <w:pPr>
        <w:pStyle w:val="TextBody"/>
        <w:bidi w:val="0"/>
        <w:spacing w:lineRule="auto" w:line="300" w:before="0" w:after="0"/>
        <w:jc w:val="right"/>
        <w:rPr>
          <w:rFonts w:ascii="Times New Roman;Times;serif" w:hAnsi="Times New Roman;Times;serif"/>
          <w:b/>
          <w:sz w:val="20"/>
        </w:rPr>
      </w:pPr>
      <w:r>
        <w:rPr>
          <w:rFonts w:ascii="Times New Roman;Times;serif" w:hAnsi="Times New Roman;Times;serif"/>
          <w:b/>
          <w:sz w:val="20"/>
        </w:rPr>
      </w:r>
    </w:p>
    <w:p>
      <w:pPr>
        <w:pStyle w:val="TextBody"/>
        <w:bidi w:val="0"/>
        <w:spacing w:lineRule="auto" w:line="300" w:before="0" w:after="0"/>
        <w:jc w:val="center"/>
        <w:rPr>
          <w:rFonts w:ascii="Times New Roman;Times;serif" w:hAnsi="Times New Roman;Times;serif"/>
          <w:color w:val="000000"/>
          <w:sz w:val="20"/>
        </w:rPr>
      </w:pPr>
      <w:r>
        <w:rPr>
          <w:rFonts w:ascii="Times New Roman;Times;serif" w:hAnsi="Times New Roman;Times;serif"/>
          <w:color w:val="000000"/>
          <w:sz w:val="20"/>
        </w:rPr>
        <w:t>ASSIGNMENT FORM</w:t>
      </w:r>
    </w:p>
    <w:p>
      <w:pPr>
        <w:pStyle w:val="TextBody"/>
        <w:bidi w:val="0"/>
        <w:spacing w:lineRule="auto" w:line="300" w:before="0" w:after="0"/>
        <w:jc w:val="center"/>
        <w:rPr>
          <w:rFonts w:ascii="Times New Roman;Times;serif" w:hAnsi="Times New Roman;Times;serif"/>
          <w:sz w:val="20"/>
        </w:rPr>
      </w:pPr>
      <w:r>
        <w:rPr>
          <w:rFonts w:ascii="Times New Roman;Times;serif" w:hAnsi="Times New Roman;Times;serif"/>
          <w:sz w:val="20"/>
        </w:rPr>
      </w:r>
    </w:p>
    <w:p>
      <w:pPr>
        <w:pStyle w:val="TextBody"/>
        <w:bidi w:val="0"/>
        <w:spacing w:lineRule="auto" w:line="300" w:before="0" w:after="0"/>
        <w:ind w:left="0" w:right="0" w:firstLine="210"/>
        <w:jc w:val="both"/>
        <w:rPr>
          <w:color w:val="000000"/>
        </w:rPr>
      </w:pPr>
      <w:r>
        <w:rPr>
          <w:color w:val="000000"/>
        </w:rPr>
        <w:t> </w:t>
      </w:r>
      <w:r>
        <w:rPr>
          <w:rFonts w:ascii="Times New Roman;Times;serif" w:hAnsi="Times New Roman;Times;serif"/>
          <w:i/>
          <w:color w:val="000000"/>
          <w:sz w:val="20"/>
        </w:rPr>
        <w:t>(To assign the foregoing Warrant, execute this form and supply required information.  Do not use this form to exercise the Warrant to purchase shares.)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210"/>
        <w:jc w:val="both"/>
        <w:rPr>
          <w:rFonts w:ascii="Times New Roman;Times;serif" w:hAnsi="Times New Roman;Times;serif"/>
          <w:color w:val="000000"/>
          <w:sz w:val="20"/>
        </w:rPr>
      </w:pPr>
      <w:r>
        <w:rPr>
          <w:rFonts w:ascii="Times New Roman;Times;serif" w:hAnsi="Times New Roman;Times;serif"/>
          <w:color w:val="000000"/>
          <w:sz w:val="20"/>
        </w:rPr>
        <w:t>FOR VALUE RECEIVED, the foregoing Warrant and all rights evidenced thereby are hereby assigned to</w:t>
      </w:r>
    </w:p>
    <w:p>
      <w:pPr>
        <w:pStyle w:val="TextBody"/>
        <w:bidi w:val="0"/>
        <w:spacing w:lineRule="auto" w:line="300" w:before="0" w:after="0"/>
        <w:jc w:val="left"/>
        <w:rPr/>
      </w:pPr>
      <w:r>
        <w:rPr/>
      </w:r>
    </w:p>
    <w:tbl>
      <w:tblPr>
        <w:tblW w:w="5485" w:type="dxa"/>
        <w:jc w:val="left"/>
        <w:tblInd w:w="0" w:type="dxa"/>
        <w:tblLayout w:type="fixed"/>
        <w:tblCellMar>
          <w:top w:w="0" w:type="dxa"/>
          <w:left w:w="0" w:type="dxa"/>
          <w:bottom w:w="0" w:type="dxa"/>
          <w:right w:w="0" w:type="dxa"/>
        </w:tblCellMar>
      </w:tblPr>
      <w:tblGrid>
        <w:gridCol w:w="4190"/>
        <w:gridCol w:w="1295"/>
      </w:tblGrid>
      <w:tr>
        <w:trPr/>
        <w:tc>
          <w:tcPr>
            <w:tcW w:w="4190" w:type="dxa"/>
            <w:tcBorders/>
            <w:vAlign w:val="center"/>
          </w:tcPr>
          <w:p>
            <w:pPr>
              <w:pStyle w:val="TableContents"/>
              <w:bidi w:val="0"/>
              <w:spacing w:before="0" w:after="283"/>
              <w:jc w:val="left"/>
              <w:rPr/>
            </w:pPr>
            <w:r>
              <w:rPr/>
              <w:t>Name:</w:t>
            </w:r>
          </w:p>
        </w:tc>
        <w:tc>
          <w:tcPr>
            <w:tcW w:w="1295" w:type="dxa"/>
            <w:tcBorders>
              <w:bottom w:val="single" w:sz="2" w:space="0" w:color="000000"/>
            </w:tcBorders>
            <w:tcMar>
              <w:bottom w:w="28" w:type="dxa"/>
            </w:tcMar>
            <w:vAlign w:val="center"/>
          </w:tcPr>
          <w:p>
            <w:pPr>
              <w:pStyle w:val="TableContents"/>
              <w:bidi w:val="0"/>
              <w:spacing w:before="0" w:after="283"/>
              <w:jc w:val="left"/>
              <w:rPr/>
            </w:pPr>
            <w:r>
              <w:rPr/>
            </w:r>
          </w:p>
        </w:tc>
      </w:tr>
      <w:tr>
        <w:trPr/>
        <w:tc>
          <w:tcPr>
            <w:tcW w:w="4190" w:type="dxa"/>
            <w:tcBorders/>
            <w:vAlign w:val="center"/>
          </w:tcPr>
          <w:p>
            <w:pPr>
              <w:pStyle w:val="TableContents"/>
              <w:bidi w:val="0"/>
              <w:spacing w:before="0" w:after="283"/>
              <w:jc w:val="left"/>
              <w:rPr/>
            </w:pPr>
            <w:r>
              <w:rPr/>
            </w:r>
          </w:p>
        </w:tc>
        <w:tc>
          <w:tcPr>
            <w:tcW w:w="1295" w:type="dxa"/>
            <w:tcBorders/>
            <w:vAlign w:val="center"/>
          </w:tcPr>
          <w:p>
            <w:pPr>
              <w:pStyle w:val="TableContents"/>
              <w:bidi w:val="0"/>
              <w:spacing w:before="0" w:after="283"/>
              <w:jc w:val="left"/>
              <w:rPr/>
            </w:pPr>
            <w:r>
              <w:rPr/>
              <w:t>(Please Print)</w:t>
            </w:r>
          </w:p>
        </w:tc>
      </w:tr>
      <w:tr>
        <w:trPr/>
        <w:tc>
          <w:tcPr>
            <w:tcW w:w="4190" w:type="dxa"/>
            <w:tcBorders/>
            <w:vAlign w:val="center"/>
          </w:tcPr>
          <w:p>
            <w:pPr>
              <w:pStyle w:val="TableContents"/>
              <w:bidi w:val="0"/>
              <w:spacing w:before="0" w:after="283"/>
              <w:jc w:val="left"/>
              <w:rPr/>
            </w:pPr>
            <w:r>
              <w:rPr/>
            </w:r>
          </w:p>
        </w:tc>
        <w:tc>
          <w:tcPr>
            <w:tcW w:w="1295" w:type="dxa"/>
            <w:tcBorders/>
            <w:vAlign w:val="center"/>
          </w:tcPr>
          <w:p>
            <w:pPr>
              <w:pStyle w:val="TableContents"/>
              <w:bidi w:val="0"/>
              <w:spacing w:before="0" w:after="283"/>
              <w:jc w:val="left"/>
              <w:rPr/>
            </w:pPr>
            <w:r>
              <w:rPr/>
            </w:r>
          </w:p>
        </w:tc>
      </w:tr>
      <w:tr>
        <w:trPr/>
        <w:tc>
          <w:tcPr>
            <w:tcW w:w="4190" w:type="dxa"/>
            <w:tcBorders/>
            <w:vAlign w:val="center"/>
          </w:tcPr>
          <w:p>
            <w:pPr>
              <w:pStyle w:val="TableContents"/>
              <w:bidi w:val="0"/>
              <w:spacing w:before="0" w:after="283"/>
              <w:jc w:val="left"/>
              <w:rPr/>
            </w:pPr>
            <w:r>
              <w:rPr/>
              <w:t>Address:</w:t>
            </w:r>
          </w:p>
        </w:tc>
        <w:tc>
          <w:tcPr>
            <w:tcW w:w="1295" w:type="dxa"/>
            <w:tcBorders>
              <w:bottom w:val="single" w:sz="2" w:space="0" w:color="000000"/>
            </w:tcBorders>
            <w:tcMar>
              <w:bottom w:w="28" w:type="dxa"/>
            </w:tcMar>
            <w:vAlign w:val="center"/>
          </w:tcPr>
          <w:p>
            <w:pPr>
              <w:pStyle w:val="TableContents"/>
              <w:bidi w:val="0"/>
              <w:spacing w:before="0" w:after="283"/>
              <w:jc w:val="left"/>
              <w:rPr/>
            </w:pPr>
            <w:r>
              <w:rPr/>
            </w:r>
          </w:p>
        </w:tc>
      </w:tr>
      <w:tr>
        <w:trPr/>
        <w:tc>
          <w:tcPr>
            <w:tcW w:w="4190" w:type="dxa"/>
            <w:tcBorders/>
            <w:vAlign w:val="center"/>
          </w:tcPr>
          <w:p>
            <w:pPr>
              <w:pStyle w:val="TableContents"/>
              <w:bidi w:val="0"/>
              <w:spacing w:before="0" w:after="283"/>
              <w:jc w:val="left"/>
              <w:rPr/>
            </w:pPr>
            <w:r>
              <w:rPr/>
            </w:r>
          </w:p>
        </w:tc>
        <w:tc>
          <w:tcPr>
            <w:tcW w:w="1295" w:type="dxa"/>
            <w:tcBorders/>
            <w:vAlign w:val="center"/>
          </w:tcPr>
          <w:p>
            <w:pPr>
              <w:pStyle w:val="TableContents"/>
              <w:bidi w:val="0"/>
              <w:spacing w:before="0" w:after="283"/>
              <w:jc w:val="left"/>
              <w:rPr/>
            </w:pPr>
            <w:r>
              <w:rPr/>
              <w:t>(Please Print)</w:t>
            </w:r>
          </w:p>
        </w:tc>
      </w:tr>
      <w:tr>
        <w:trPr/>
        <w:tc>
          <w:tcPr>
            <w:tcW w:w="4190" w:type="dxa"/>
            <w:tcBorders/>
            <w:vAlign w:val="center"/>
          </w:tcPr>
          <w:p>
            <w:pPr>
              <w:pStyle w:val="TableContents"/>
              <w:bidi w:val="0"/>
              <w:spacing w:before="0" w:after="283"/>
              <w:jc w:val="left"/>
              <w:rPr/>
            </w:pPr>
            <w:r>
              <w:rPr/>
            </w:r>
          </w:p>
        </w:tc>
        <w:tc>
          <w:tcPr>
            <w:tcW w:w="1295" w:type="dxa"/>
            <w:tcBorders/>
            <w:vAlign w:val="center"/>
          </w:tcPr>
          <w:p>
            <w:pPr>
              <w:pStyle w:val="TableContents"/>
              <w:bidi w:val="0"/>
              <w:spacing w:before="0" w:after="283"/>
              <w:jc w:val="left"/>
              <w:rPr/>
            </w:pPr>
            <w:r>
              <w:rPr/>
            </w:r>
          </w:p>
        </w:tc>
      </w:tr>
      <w:tr>
        <w:trPr/>
        <w:tc>
          <w:tcPr>
            <w:tcW w:w="4190" w:type="dxa"/>
            <w:tcBorders/>
            <w:vAlign w:val="center"/>
          </w:tcPr>
          <w:p>
            <w:pPr>
              <w:pStyle w:val="TableContents"/>
              <w:bidi w:val="0"/>
              <w:spacing w:before="0" w:after="283"/>
              <w:jc w:val="left"/>
              <w:rPr/>
            </w:pPr>
            <w:r>
              <w:rPr/>
              <w:t>Phone Number:</w:t>
            </w:r>
          </w:p>
        </w:tc>
        <w:tc>
          <w:tcPr>
            <w:tcW w:w="1295" w:type="dxa"/>
            <w:tcBorders>
              <w:bottom w:val="single" w:sz="2" w:space="0" w:color="000000"/>
            </w:tcBorders>
            <w:tcMar>
              <w:bottom w:w="28" w:type="dxa"/>
            </w:tcMar>
            <w:vAlign w:val="center"/>
          </w:tcPr>
          <w:p>
            <w:pPr>
              <w:pStyle w:val="TableContents"/>
              <w:bidi w:val="0"/>
              <w:spacing w:before="0" w:after="283"/>
              <w:jc w:val="left"/>
              <w:rPr/>
            </w:pPr>
            <w:r>
              <w:rPr/>
            </w:r>
          </w:p>
        </w:tc>
      </w:tr>
      <w:tr>
        <w:trPr/>
        <w:tc>
          <w:tcPr>
            <w:tcW w:w="4190" w:type="dxa"/>
            <w:tcBorders/>
            <w:vAlign w:val="center"/>
          </w:tcPr>
          <w:p>
            <w:pPr>
              <w:pStyle w:val="TableContents"/>
              <w:bidi w:val="0"/>
              <w:spacing w:before="0" w:after="283"/>
              <w:jc w:val="left"/>
              <w:rPr/>
            </w:pPr>
            <w:r>
              <w:rPr/>
            </w:r>
          </w:p>
        </w:tc>
        <w:tc>
          <w:tcPr>
            <w:tcW w:w="1295" w:type="dxa"/>
            <w:tcBorders/>
            <w:vAlign w:val="center"/>
          </w:tcPr>
          <w:p>
            <w:pPr>
              <w:pStyle w:val="TableContents"/>
              <w:bidi w:val="0"/>
              <w:spacing w:before="0" w:after="283"/>
              <w:jc w:val="left"/>
              <w:rPr/>
            </w:pPr>
            <w:r>
              <w:rPr/>
            </w:r>
          </w:p>
        </w:tc>
      </w:tr>
      <w:tr>
        <w:trPr/>
        <w:tc>
          <w:tcPr>
            <w:tcW w:w="4190" w:type="dxa"/>
            <w:tcBorders/>
            <w:vAlign w:val="center"/>
          </w:tcPr>
          <w:p>
            <w:pPr>
              <w:pStyle w:val="TableContents"/>
              <w:bidi w:val="0"/>
              <w:spacing w:before="0" w:after="283"/>
              <w:jc w:val="left"/>
              <w:rPr/>
            </w:pPr>
            <w:r>
              <w:rPr/>
              <w:t>Email Address:</w:t>
            </w:r>
          </w:p>
        </w:tc>
        <w:tc>
          <w:tcPr>
            <w:tcW w:w="1295" w:type="dxa"/>
            <w:tcBorders>
              <w:bottom w:val="single" w:sz="2" w:space="0" w:color="000000"/>
            </w:tcBorders>
            <w:tcMar>
              <w:bottom w:w="28" w:type="dxa"/>
            </w:tcMar>
            <w:vAlign w:val="center"/>
          </w:tcPr>
          <w:p>
            <w:pPr>
              <w:pStyle w:val="TableContents"/>
              <w:bidi w:val="0"/>
              <w:spacing w:before="0" w:after="283"/>
              <w:jc w:val="left"/>
              <w:rPr/>
            </w:pPr>
            <w:r>
              <w:rPr/>
            </w:r>
          </w:p>
        </w:tc>
      </w:tr>
      <w:tr>
        <w:trPr/>
        <w:tc>
          <w:tcPr>
            <w:tcW w:w="4190" w:type="dxa"/>
            <w:tcBorders/>
            <w:vAlign w:val="center"/>
          </w:tcPr>
          <w:p>
            <w:pPr>
              <w:pStyle w:val="TableContents"/>
              <w:bidi w:val="0"/>
              <w:spacing w:before="0" w:after="283"/>
              <w:jc w:val="left"/>
              <w:rPr/>
            </w:pPr>
            <w:r>
              <w:rPr/>
            </w:r>
          </w:p>
        </w:tc>
        <w:tc>
          <w:tcPr>
            <w:tcW w:w="1295" w:type="dxa"/>
            <w:tcBorders/>
            <w:vAlign w:val="center"/>
          </w:tcPr>
          <w:p>
            <w:pPr>
              <w:pStyle w:val="TableContents"/>
              <w:bidi w:val="0"/>
              <w:spacing w:before="0" w:after="283"/>
              <w:jc w:val="left"/>
              <w:rPr/>
            </w:pPr>
            <w:r>
              <w:rPr/>
            </w:r>
          </w:p>
        </w:tc>
      </w:tr>
      <w:tr>
        <w:trPr/>
        <w:tc>
          <w:tcPr>
            <w:tcW w:w="4190" w:type="dxa"/>
            <w:tcBorders/>
            <w:vAlign w:val="center"/>
          </w:tcPr>
          <w:p>
            <w:pPr>
              <w:pStyle w:val="TableContents"/>
              <w:bidi w:val="0"/>
              <w:spacing w:before="0" w:after="283"/>
              <w:jc w:val="left"/>
              <w:rPr/>
            </w:pPr>
            <w:r>
              <w:rPr/>
              <w:t>Dated: _______________ __, ______</w:t>
            </w:r>
          </w:p>
        </w:tc>
        <w:tc>
          <w:tcPr>
            <w:tcW w:w="1295" w:type="dxa"/>
            <w:tcBorders/>
            <w:vAlign w:val="center"/>
          </w:tcPr>
          <w:p>
            <w:pPr>
              <w:pStyle w:val="TableContents"/>
              <w:bidi w:val="0"/>
              <w:spacing w:before="0" w:after="283"/>
              <w:jc w:val="left"/>
              <w:rPr/>
            </w:pPr>
            <w:r>
              <w:rPr/>
            </w:r>
          </w:p>
        </w:tc>
      </w:tr>
      <w:tr>
        <w:trPr/>
        <w:tc>
          <w:tcPr>
            <w:tcW w:w="4190" w:type="dxa"/>
            <w:tcBorders/>
            <w:vAlign w:val="center"/>
          </w:tcPr>
          <w:p>
            <w:pPr>
              <w:pStyle w:val="TableContents"/>
              <w:bidi w:val="0"/>
              <w:spacing w:before="0" w:after="283"/>
              <w:jc w:val="left"/>
              <w:rPr/>
            </w:pPr>
            <w:r>
              <w:rPr/>
            </w:r>
          </w:p>
        </w:tc>
        <w:tc>
          <w:tcPr>
            <w:tcW w:w="1295" w:type="dxa"/>
            <w:tcBorders/>
            <w:vAlign w:val="center"/>
          </w:tcPr>
          <w:p>
            <w:pPr>
              <w:pStyle w:val="TableContents"/>
              <w:bidi w:val="0"/>
              <w:spacing w:before="0" w:after="283"/>
              <w:jc w:val="left"/>
              <w:rPr/>
            </w:pPr>
            <w:r>
              <w:rPr/>
            </w:r>
          </w:p>
        </w:tc>
      </w:tr>
      <w:tr>
        <w:trPr/>
        <w:tc>
          <w:tcPr>
            <w:tcW w:w="4190" w:type="dxa"/>
            <w:tcBorders/>
            <w:vAlign w:val="center"/>
          </w:tcPr>
          <w:p>
            <w:pPr>
              <w:pStyle w:val="TableContents"/>
              <w:bidi w:val="0"/>
              <w:spacing w:before="0" w:after="283"/>
              <w:jc w:val="left"/>
              <w:rPr/>
            </w:pPr>
            <w:r>
              <w:rPr>
                <w:rFonts w:ascii="Times New Roman;Times;serif" w:hAnsi="Times New Roman;Times;serif"/>
                <w:sz w:val="20"/>
              </w:rPr>
              <w:t>Holder’s Signature:</w:t>
            </w:r>
            <w:r>
              <w:rPr/>
              <w:t> </w:t>
            </w:r>
            <w:r>
              <w:rPr>
                <w:u w:val="single"/>
              </w:rPr>
              <w:t xml:space="preserve">                                          </w:t>
            </w:r>
          </w:p>
        </w:tc>
        <w:tc>
          <w:tcPr>
            <w:tcW w:w="1295" w:type="dxa"/>
            <w:tcBorders/>
            <w:vAlign w:val="center"/>
          </w:tcPr>
          <w:p>
            <w:pPr>
              <w:pStyle w:val="TableContents"/>
              <w:bidi w:val="0"/>
              <w:spacing w:before="0" w:after="283"/>
              <w:jc w:val="left"/>
              <w:rPr/>
            </w:pPr>
            <w:r>
              <w:rPr/>
            </w:r>
          </w:p>
        </w:tc>
      </w:tr>
      <w:tr>
        <w:trPr/>
        <w:tc>
          <w:tcPr>
            <w:tcW w:w="4190" w:type="dxa"/>
            <w:tcBorders/>
            <w:vAlign w:val="center"/>
          </w:tcPr>
          <w:p>
            <w:pPr>
              <w:pStyle w:val="TableContents"/>
              <w:bidi w:val="0"/>
              <w:spacing w:before="0" w:after="283"/>
              <w:jc w:val="left"/>
              <w:rPr/>
            </w:pPr>
            <w:r>
              <w:rPr/>
            </w:r>
          </w:p>
        </w:tc>
        <w:tc>
          <w:tcPr>
            <w:tcW w:w="1295" w:type="dxa"/>
            <w:tcBorders/>
            <w:vAlign w:val="center"/>
          </w:tcPr>
          <w:p>
            <w:pPr>
              <w:pStyle w:val="TableContents"/>
              <w:bidi w:val="0"/>
              <w:spacing w:before="0" w:after="283"/>
              <w:jc w:val="left"/>
              <w:rPr/>
            </w:pPr>
            <w:r>
              <w:rPr/>
            </w:r>
          </w:p>
        </w:tc>
      </w:tr>
      <w:tr>
        <w:trPr/>
        <w:tc>
          <w:tcPr>
            <w:tcW w:w="4190" w:type="dxa"/>
            <w:tcBorders/>
            <w:vAlign w:val="center"/>
          </w:tcPr>
          <w:p>
            <w:pPr>
              <w:pStyle w:val="TableContents"/>
              <w:bidi w:val="0"/>
              <w:spacing w:before="0" w:after="283"/>
              <w:jc w:val="left"/>
              <w:rPr/>
            </w:pPr>
            <w:r>
              <w:rPr>
                <w:rFonts w:ascii="Times New Roman;Times;serif" w:hAnsi="Times New Roman;Times;serif"/>
                <w:sz w:val="20"/>
              </w:rPr>
              <w:t>Holder’s Address:</w:t>
            </w:r>
            <w:r>
              <w:rPr/>
              <w:t> </w:t>
            </w:r>
            <w:r>
              <w:rPr>
                <w:u w:val="single"/>
              </w:rPr>
              <w:t xml:space="preserve">                                            </w:t>
            </w:r>
          </w:p>
        </w:tc>
        <w:tc>
          <w:tcPr>
            <w:tcW w:w="1295" w:type="dxa"/>
            <w:tcBorders/>
            <w:vAlign w:val="center"/>
          </w:tcPr>
          <w:p>
            <w:pPr>
              <w:pStyle w:val="TableContents"/>
              <w:bidi w:val="0"/>
              <w:spacing w:before="0" w:after="283"/>
              <w:jc w:val="left"/>
              <w:rPr/>
            </w:pPr>
            <w:r>
              <w:rPr/>
            </w:r>
          </w:p>
        </w:tc>
      </w:tr>
    </w:tbl>
    <w:p>
      <w:pPr>
        <w:pStyle w:val="TextBody"/>
        <w:bidi w:val="0"/>
        <w:spacing w:lineRule="auto" w:line="300" w:before="0" w:after="0"/>
        <w:jc w:val="left"/>
        <w:rPr/>
      </w:pPr>
      <w:r>
        <w:rPr/>
      </w:r>
    </w:p>
    <w:p>
      <w:pPr>
        <w:pStyle w:val="HorizontalLine"/>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26</Pages>
  <Words>136223</Words>
  <Characters>708573</Characters>
  <CharactersWithSpaces>852088</CharactersWithSpaces>
  <Paragraphs>2866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