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4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Lifeward Ltd.</w:t>
      </w:r>
    </w:p>
    <w:p>
      <w:pPr>
        <w:spacing w:after="0" w:line="4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pacing w:after="0" w:line="214" w:lineRule="exact"/>
        <w:rPr>
          <w:sz w:val="24"/>
          <w:szCs w:val="24"/>
          <w:color w:val="auto"/>
        </w:rPr>
      </w:pPr>
    </w:p>
    <w:tbl>
      <w:tblPr>
        <w:tblLayout w:type="fixed"/>
        <w:tblInd w:w="124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of Israel</w:t>
            </w:r>
          </w:p>
        </w:tc>
        <w:tc>
          <w:tcPr>
            <w:tcW w:w="2620" w:type="dxa"/>
            <w:vAlign w:val="bottom"/>
            <w:gridSpan w:val="2"/>
          </w:tcPr>
          <w:p>
            <w:pPr>
              <w:spacing w:after="0"/>
              <w:rPr>
                <w:sz w:val="17"/>
                <w:szCs w:val="17"/>
                <w:color w:val="auto"/>
              </w:rPr>
            </w:pPr>
          </w:p>
        </w:tc>
        <w:tc>
          <w:tcPr>
            <w:tcW w:w="2100" w:type="dxa"/>
            <w:vAlign w:val="bottom"/>
          </w:tcPr>
          <w:p>
            <w:pPr>
              <w:spacing w:after="0"/>
              <w:rPr>
                <w:sz w:val="17"/>
                <w:szCs w:val="17"/>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001-36612</w:t>
            </w:r>
          </w:p>
        </w:tc>
        <w:tc>
          <w:tcPr>
            <w:tcW w:w="560" w:type="dxa"/>
            <w:vAlign w:val="bottom"/>
          </w:tcPr>
          <w:p>
            <w:pPr>
              <w:spacing w:after="0"/>
              <w:rPr>
                <w:sz w:val="17"/>
                <w:szCs w:val="17"/>
                <w:color w:val="auto"/>
              </w:rPr>
            </w:pPr>
          </w:p>
        </w:tc>
      </w:tr>
      <w:tr>
        <w:trPr>
          <w:trHeight w:val="250"/>
        </w:trPr>
        <w:tc>
          <w:tcPr>
            <w:tcW w:w="4700" w:type="dxa"/>
            <w:vAlign w:val="bottom"/>
            <w:gridSpan w:val="5"/>
          </w:tcPr>
          <w:p>
            <w:pPr>
              <w:jc w:val="center"/>
              <w:ind w:right="15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440" w:type="dxa"/>
            <w:vAlign w:val="bottom"/>
            <w:gridSpan w:val="5"/>
          </w:tcPr>
          <w:p>
            <w:pPr>
              <w:jc w:val="center"/>
              <w:ind w:left="1450"/>
              <w:spacing w:after="0"/>
              <w:rPr>
                <w:sz w:val="20"/>
                <w:szCs w:val="20"/>
                <w:color w:val="auto"/>
              </w:rPr>
            </w:pPr>
            <w:r>
              <w:rPr>
                <w:rFonts w:ascii="Times New Roman" w:cs="Times New Roman" w:eastAsia="Times New Roman" w:hAnsi="Times New Roman"/>
                <w:sz w:val="18"/>
                <w:szCs w:val="18"/>
                <w:color w:val="auto"/>
                <w:w w:val="99"/>
              </w:rPr>
              <w:t>(Commission file number)</w:t>
            </w:r>
          </w:p>
        </w:tc>
      </w:tr>
      <w:tr>
        <w:trPr>
          <w:trHeight w:val="405"/>
        </w:trPr>
        <w:tc>
          <w:tcPr>
            <w:tcW w:w="620" w:type="dxa"/>
            <w:vAlign w:val="bottom"/>
          </w:tcPr>
          <w:p>
            <w:pPr>
              <w:spacing w:after="0"/>
              <w:rPr>
                <w:sz w:val="24"/>
                <w:szCs w:val="24"/>
                <w:color w:val="auto"/>
              </w:rPr>
            </w:pPr>
          </w:p>
        </w:tc>
        <w:tc>
          <w:tcPr>
            <w:tcW w:w="4080" w:type="dxa"/>
            <w:vAlign w:val="bottom"/>
            <w:gridSpan w:val="4"/>
          </w:tcPr>
          <w:p>
            <w:pPr>
              <w:jc w:val="center"/>
              <w:ind w:right="2180"/>
              <w:spacing w:after="0"/>
              <w:rPr>
                <w:sz w:val="20"/>
                <w:szCs w:val="20"/>
                <w:color w:val="auto"/>
              </w:rPr>
            </w:pPr>
            <w:r>
              <w:rPr>
                <w:rFonts w:ascii="Times New Roman" w:cs="Times New Roman" w:eastAsia="Times New Roman" w:hAnsi="Times New Roman"/>
                <w:sz w:val="18"/>
                <w:szCs w:val="18"/>
                <w:color w:val="auto"/>
              </w:rPr>
              <w:t>2 Cabot Rd., Hudson, MA</w:t>
            </w:r>
          </w:p>
        </w:tc>
        <w:tc>
          <w:tcPr>
            <w:tcW w:w="28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01749</w:t>
            </w:r>
          </w:p>
        </w:tc>
        <w:tc>
          <w:tcPr>
            <w:tcW w:w="56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1900" w:type="dxa"/>
            <w:vAlign w:val="bottom"/>
            <w:gridSpan w:val="3"/>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237"/>
        </w:trPr>
        <w:tc>
          <w:tcPr>
            <w:tcW w:w="4700" w:type="dxa"/>
            <w:vAlign w:val="bottom"/>
            <w:gridSpan w:val="5"/>
          </w:tcPr>
          <w:p>
            <w:pPr>
              <w:jc w:val="center"/>
              <w:ind w:right="15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440" w:type="dxa"/>
            <w:vAlign w:val="bottom"/>
            <w:gridSpan w:val="5"/>
          </w:tcPr>
          <w:p>
            <w:pPr>
              <w:jc w:val="center"/>
              <w:ind w:left="14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u w:val="single" w:color="auto"/>
          <w:color w:val="auto"/>
        </w:rPr>
        <w:t>Almog Adar, Chief Financial Officer, telephone: +508.251.1154</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39"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52"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 Conflict Minerals Disclosure and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4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This Specialized Disclosure Form (“Form SD”) of Lifeward Ltd. (the “Company,” “we,” or “us”) is filed pursuant to Rule 13p-1 (the “Rule”) promulgated under the Securities Exchange Act of 1934, as amended (the “1934 Act”), for the reporting period from January 1, 2025 to December 31, 2025.</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Rule requires disclosure of certain information when a company manufactures or contracts to manufacture products for which the minerals specified under the Rule are necessary to the functionality or production of those products. The specified minerals are gold, columbite-tantalite (coltan), cassiterite and wolframite, including their derivatives, which are limited to tantalum, tin and tungsten (collectively, the “Conflict Minerals” or “3TG”), that originated in the Democratic Republic of the Congo (“DRC”) and certain adjoining countries (collectively with the DRC, the “Covered Countries”), unless the Secretary of State in the future determines that additional derivatives are financing conflict in the Covered Countries.</w:t>
      </w:r>
    </w:p>
    <w:p>
      <w:pPr>
        <w:spacing w:after="0" w:line="20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Per the Rule and the instructions to Form SD, the Company is required to conduct in good faith a reasonable country of origin inquiry regarding the Conflict Minerals that is reasonably designed to determine whether any of the Conflict Minerals originated in any of the Covered Countries, or are from “recycled” or “scrap sources” as defined in Form SD. Following the country of origin inquiry, the Company must exercise due diligence on the source and chain of custody of such Conflict Minerals if the Company knows or has reason to believe that those Conflict Minerals originated in any of the Covered Countries and knows or has reason to believe that they may not be entirely from recycled or scrap 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Conclusion Based on Reasonable Country of Origin Inquiry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the Rule, the Company has concluded in good faith that during the year ended December 31, 2025:</w:t>
      </w:r>
    </w:p>
    <w:p>
      <w:pPr>
        <w:spacing w:after="0" w:line="239" w:lineRule="exact"/>
        <w:rPr>
          <w:sz w:val="20"/>
          <w:szCs w:val="20"/>
          <w:color w:val="auto"/>
        </w:rPr>
      </w:pPr>
    </w:p>
    <w:p>
      <w:pPr>
        <w:ind w:left="860" w:hanging="488"/>
        <w:spacing w:after="0" w:line="261"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Company’s operations manufactured, or contracted to manufacture, products (the “Covered Products”) for which the Conflict Minerals are necessary to the functionality or production of those products.</w:t>
      </w:r>
    </w:p>
    <w:p>
      <w:pPr>
        <w:jc w:val="both"/>
        <w:ind w:left="860" w:hanging="488"/>
        <w:spacing w:after="0" w:line="25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Company’s good faith reasonable country of origin inquiry regarding the Conflict Minerals that were used in the Company’s Covered Products in 2025, which was designed to determine whether any of the Conflict Minerals contained in the Company’s Covered Products originated in any of the Covered Countries and whether any of the Conflict Minerals contained in the Covered Products are or may be from entirely recycled or scrap sources, the Company has reason to believe the following: (i) the Conflict Minerals contained in its Covered Products may have originated in one or more of the Covered Countries; and (ii) such Conflict Minerals may not be from entirely recycled or scrap sources.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basis of these conclusions, the Company proceeded to exercise due diligence with respect to the source and chain of custody of the Conflict Minerals contained in its Covered Products. The Conflict Minerals Report (the “CMR”) describing the Company’s due diligence efforts is attached as Exhibit 1.01 to this Form SD for the reporting period from January 1, 2025 to December 31, 2025. In accordance with applicable guidance from the Securities and Exchange Commission, the Company is not required to obtain an independent private sector audit of its CMR for the year ended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 Minerals Disclosure</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 copy of the Company’s CMR is filed as Exhibit 1.01 hereto and is publicly available on the "Charters &amp; Policies" under the “Corporate Governance” page in the “Investor Relations” section of the Company’s website at https://ir.golifeward.com/corporate-governance/charters-and-policies. Information contained on, or that can be accessed through, the Company’s website does not constitute a part of this Form SD or the attached CMR and is not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Company’s CMR is filed as Exhibit 1.01 to this Form SD.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3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2.01</w:t>
        <w:tab/>
        <w:t>Resource Extraction Issuer Disclosure and Report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1.01 — Conflict Minerals Report of Lifeward Ltd. for the year ended December 31, 2025, as required by Items 1.01 and 1.02 of this Form 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600"/>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Lifeward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Almog Adar</w:t>
            </w:r>
          </w:p>
        </w:tc>
        <w:tc>
          <w:tcPr>
            <w:tcW w:w="85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May 29, 2026</w:t>
            </w:r>
          </w:p>
        </w:tc>
      </w:tr>
      <w:tr>
        <w:trPr>
          <w:trHeight w:val="20"/>
        </w:trPr>
        <w:tc>
          <w:tcPr>
            <w:tcW w:w="11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245"/>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Almog Adar</w:t>
            </w:r>
          </w:p>
        </w:tc>
        <w:tc>
          <w:tcPr>
            <w:tcW w:w="640" w:type="dxa"/>
            <w:vAlign w:val="bottom"/>
          </w:tcPr>
          <w:p>
            <w:pPr>
              <w:spacing w:after="0"/>
              <w:rPr>
                <w:sz w:val="21"/>
                <w:szCs w:val="21"/>
                <w:color w:val="auto"/>
              </w:rPr>
            </w:pPr>
          </w:p>
        </w:tc>
        <w:tc>
          <w:tcPr>
            <w:tcW w:w="7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(Date)</w:t>
            </w:r>
          </w:p>
        </w:tc>
      </w:tr>
      <w:tr>
        <w:trPr>
          <w:trHeight w:val="23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60" w:type="dxa"/>
            <w:vAlign w:val="bottom"/>
          </w:tcPr>
          <w:p>
            <w:pPr>
              <w:spacing w:after="0"/>
              <w:rPr>
                <w:sz w:val="20"/>
                <w:szCs w:val="20"/>
                <w:color w:val="auto"/>
              </w:rPr>
            </w:pPr>
          </w:p>
        </w:tc>
      </w:tr>
      <w:tr>
        <w:trPr>
          <w:trHeight w:val="310"/>
        </w:trPr>
        <w:tc>
          <w:tcPr>
            <w:tcW w:w="1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r>
      <w:tr>
        <w:trPr>
          <w:trHeight w:val="163"/>
        </w:trPr>
        <w:tc>
          <w:tcPr>
            <w:tcW w:w="1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86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1.01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Lifeward Ltd.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5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This is the Conflict Minerals Report (the “CMR”) of Lifeward Ltd. (the “Company,” “we” or “us” or “our”) for calendar year 2025 in accordance with Rule 13p-1 (the “Rule”) under the Securities Exchange Act of 1934, as amended (the “1934 Act”). The Rule requires disclosure of certain information when a registrant manufactures or contracts to manufacture products that contain, or likely contain, the “Conflict Minerals” specified in the Rule, which are necessary to the functionality or production of products (the “Covered Products”).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“Conflict Minerals” are defined as gold, columbite-tantalite (coltan), cassiterite and wolframite, including their derivatives, which are limited to tantalum, tin and tungsten. Tantalum, tin, tungsten and gold are collectively referred to as “3TG” for the purposes of this assessment. According to the Rule, if a registrant, based on a good faith reasonable country of origin inquiry regarding the Conflict Minerals, has reason to believe that (i) the Conflict Minerals contained in its Covered Products may have originated in the Democratic Republic of the Congo (“DRC”) or an adjoining country (collectively with the DRC, the “Covered Countries”) or (ii) such Conflict Minerals may not be from recycled or scrap sources, then the registrant must exercise due diligence on the source and chain of custody of the Conflict Minerals, and submit a conflict minerals report describing those due diligence measures.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conducted a Reasonable Country of Origin Inquiry (“RCOI”) to determine, using good faith and reasonable best efforts, whether any of the necessary 3TG that was necessary to the production or functionality of our Covered Products in 2025 originated, or likely originated, from any of the Covered Countries or whether the 3TG originated, or likely originated, from entirely recycled or scrap sources. We held meetings with management from various departments to discuss the applicable definitions of “manufacturer” and/or “contract to manufacture.” By way of this process, we identified specific types of product parts within our products that contain within them 3TG that is necessary to their production or functionality and mapped them to their respective suppliers</w:t>
      </w:r>
      <w:r>
        <w:rPr>
          <w:rFonts w:ascii="Times New Roman" w:cs="Times New Roman" w:eastAsia="Times New Roman" w:hAnsi="Times New Roman"/>
          <w:sz w:val="18"/>
          <w:szCs w:val="18"/>
          <w:b w:val="1"/>
          <w:bCs w:val="1"/>
          <w:color w:val="auto"/>
        </w:rPr>
        <w:t>.</w:t>
      </w:r>
    </w:p>
    <w:p>
      <w:pPr>
        <w:spacing w:after="0" w:line="19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We developed a risk-based approach that focuses on our key suppliers involved in manufacturing the majority of our finished products. We identified 80 relevant suppliers. We contracted a third-party service provider to assist us with the survey of suppliers. Through this third-party service provider, we sent letters to our relevant suppliers. We requested that all identified suppliers provide information regarding the origin of the Conflict Minerals contained in products supplied using version 6.5, or higher, of the Conflict Minerals Reporting Template (“CMRT”) of the Responsible Business Alliance and created by the Responsible Minerals Initiative (“RMI”).</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reviewed the responses received, checked for inconsistencies, incomplete forms, and inaccurate responses, and sent reminders to suppliers who did not respond to our requests for information. We compared the Conflict Minerals smelters or refiners reported in the surveys with the 80 suppliers against the lists of facilities that received a conformant or active designation by the RMI’s Responsible Minerals Assurance Process (“RMAP”). In accordance with the Rule, we concluded in good faith that during the year ended December 31, 2025:</w:t>
      </w:r>
    </w:p>
    <w:p>
      <w:pPr>
        <w:spacing w:after="0" w:line="199" w:lineRule="exact"/>
        <w:rPr>
          <w:sz w:val="20"/>
          <w:szCs w:val="20"/>
          <w:color w:val="auto"/>
        </w:rPr>
      </w:pPr>
    </w:p>
    <w:p>
      <w:pPr>
        <w:ind w:left="860" w:hanging="488"/>
        <w:spacing w:after="0" w:line="261"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operations manufactured, or contracted to manufacture, products for which Conflict Minerals are necessary to the functionality or production of those products; and</w:t>
      </w:r>
    </w:p>
    <w:p>
      <w:pPr>
        <w:jc w:val="both"/>
        <w:ind w:left="860" w:hanging="488"/>
        <w:spacing w:after="0" w:line="255"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good faith RCOI regarding the Conflict Minerals, we had reason to believe that: (i) the Conflict Minerals contained in our Covered Products may have originated in the DRC or one or more of the Covered Countries and (ii) such Conflict Minerals may not be from entirely recycled or scrap sources.</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As a result, we exercised due diligence on the Conflict Minerals’ source and chain of custody and are filing this CMR with our Form SD to comply with the requirements of the Rule. In accordance with applicable guidance from the U.S. Securities and Exchange Commission (the “SEC”), we are not required to obtain an independent private sector audit of our CMR for the year ended December 31, 2025. The due diligence measures we performed are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 I. Company Overview and Description of the Company’s Products Covered by This Report</w:t>
      </w:r>
    </w:p>
    <w:p>
      <w:pPr>
        <w:spacing w:after="0" w:line="243" w:lineRule="exact"/>
        <w:rPr>
          <w:sz w:val="20"/>
          <w:szCs w:val="20"/>
          <w:color w:val="auto"/>
        </w:rPr>
      </w:pPr>
    </w:p>
    <w:p>
      <w:pPr>
        <w:jc w:val="both"/>
        <w:ind w:firstLine="659"/>
        <w:spacing w:after="0" w:line="269" w:lineRule="auto"/>
        <w:rPr>
          <w:sz w:val="20"/>
          <w:szCs w:val="20"/>
          <w:color w:val="auto"/>
        </w:rPr>
      </w:pPr>
      <w:r>
        <w:rPr>
          <w:rFonts w:ascii="Times New Roman" w:cs="Times New Roman" w:eastAsia="Times New Roman" w:hAnsi="Times New Roman"/>
          <w:sz w:val="18"/>
          <w:szCs w:val="18"/>
          <w:color w:val="auto"/>
        </w:rPr>
        <w:t>We are a medical device company that designs, develops, and commercializes life-changing solutions that span the continuum of care in physical rehabilitation and recovery, delivering proven functional and health benefits in clinical settings as well as in the home and community. The Company’s initial product offerings were the ReWalk Personal and ReWalk Rehabilitation Exoskeleton devices for individuals with spinal cord injury (collectively, the “SCI Products”). These devices are robotic exoskeletons that are designed for individuals with paraplegia that use the Company’s patented tilt-sensor technology and an on-board computer and motion sensors to drive motorized legs that power movement. These SCI Products allow individuals with spinal cord injury the ability to stand and walk again during everyday activities at home or in the community.</w:t>
      </w:r>
    </w:p>
    <w:p>
      <w:pPr>
        <w:spacing w:after="0" w:line="18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Company has sought to expand its product offerings beyond the SCI Products through internal development and distribution agreements. The Company has developed its ReStore Exo-Suit device (“ReStore”), a powered, lightweight soft exo-suit intended for use during the rehabilitation of individuals with lower limb disabilities due to stroke. The Company is no longer actively commercializing the ReStore product. The Company distributes the MYOLYN MyoCycle FES Pro cycles to U.S. rehabilitation clinics and the MyoCycle Home cycles available to U.S. veterans through VA hospitals on a non-exclusive basis.</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Following the acquisition of AlterG, Inc. by Lifeward in August 2023, the Company added the AlterG Anti-Gravity Treadmill to its portfolio of rehabilitation and recovery solutions. The Anti-Gravity Treadmill utilizes differential air pressure technology to reduce body weight impact during walking and running therapy and is used in rehabilitation clinics, sports performance facilities and hospitals worldwide. Fiscal year 2025 is the first reporting period in which the Anti-Gravity Treadmill product line is included in the Company’s Conflict Minerals disclosure.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products are marketed and sold worldwide, with principal markets in the United States and Europe.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The Company’s Due Diligence Process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of Due Diligence</w:t>
      </w:r>
    </w:p>
    <w:p>
      <w:pPr>
        <w:spacing w:after="0" w:line="24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We have adopted due diligence processes in accordance with Due Diligence Guidance for Responsible Supply Chains of Minerals from Conflict-Affected and High-Risk Areas: Third Edition (2016), including the related Supplements on Tin, Tantalum and Tungsten and on Gold published by the Organization for Economic Co-Operation and Development (collectively, the “OECD Guidance”).</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design of our Conflict Minerals program is in conformity with the OECD Guidance, specifically as it relates to our position in the minerals supply chain as a company that is several levels removed from the actual mining of Conflict Minerals (i.e., a “downstream company”). We do not make direct purchases of raw ore or unrefined Conflict Minerals and instead rely on our direct suppliers to provide us with the information regarding the likely source and chain of custody of the 3TG minerals supplied to us. Summarized below are the design components of our Conflict Minerals program as they relate to the five-step framework set forth in the OECD Guidance: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Performed</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Establish Strong Company Management Systems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 communicate and commit to a supply chain policy for minerals from conflict-affected and high-risk areas.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continued to communicate our Conflict Minerals Policy (the “Policy”) related to our sourcing of 3TG to our suppliers and other stakeholders. Our Policy outlines our commitment to responsible sourcing and the requirements imposed on participants in our supply chain and is available on the "Charters &amp; Policies" under the “Corporate Governance” page in the “Investor Relations” section of our website at https://ir.golifeward.com/corporate-governance/charters-and-policies. Information contained on, or that can be accessed through, our website does not constitute a part of this CMR and is not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Structure internal management systems to support supply chain due diligence.</w:t>
      </w:r>
    </w:p>
    <w:p>
      <w:pPr>
        <w:spacing w:after="0" w:line="24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A cross-functional Conflict Minerals steering committee operates our Conflict Minerals program. The committee consists of representatives from the Company’s finance and purchasing functions and is led by our Principal Financial Officer. Regular meetings of our Conflict Minerals steering committee were held, and the committee updated representatives of our senior management on the status of the Conflict Minerals program.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Establish a System of Controls and Transparency over the Conflict Minerals Supply Chain.</w:t>
      </w:r>
    </w:p>
    <w:p>
      <w:pPr>
        <w:spacing w:after="0" w:line="24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We have implemented a supply chain system of controls and transparency through the use of due diligence tools created by the RMI. These tools include, as discussed in “Step 2” below, accepting at a minimum version 6.5, or higher, of the CMRT, which is designed to identify and verify information regarding the smelters or refiners that process the necessary Conflict Minerals contained in our products. We have also adopted a process to maintain business records relating to 3TG due diligence, including retention of records of our due diligence processes, findings and resulting decisions for a period of five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Strengthen the Company’s Engagement with Suppliers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inform our in-scope manufacturers and suppliers of our disclosure requirements, including our compliance with the OECD Guidance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Establish a Company-level Grievance Mechanism.</w:t>
      </w:r>
    </w:p>
    <w:p>
      <w:pPr>
        <w:spacing w:after="0" w:line="25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Our Policy includes a grievance procedure by which employees, suppliers and other stakeholders may contact us should they wish to seek guidance or report concerns regarding Conflict Minerals. Concerns or grievances reported through this procedure are reviewed by the relevant staff members and follow-up activities are conducted, as appropriate.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and Assess Risks in the Supply Chain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Identify Risks in the Supply Chain by Identifying Company Suppliers.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Identify Company Suppliers.</w:t>
      </w:r>
    </w:p>
    <w:p>
      <w:pPr>
        <w:spacing w:after="0" w:line="23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As explained above, we do not buy raw ore or unrefined Conflict Minerals directly from refiners, smelters or mines. Our supply chain with respect to the Covered Products is complex, with multiple intermediaries and third parties in the supply chain between the manufacturing of the Covered Products and the original sources of the necessary Conflict Minerals. Because we believe that the smelters or refiners of the Conflict Minerals are best situated to identify the sources of Conflict Minerals, we rely on our direct suppliers to provide information on the origin of the Conflict Minerals contained in components and materials supplied to us.</w:t>
      </w:r>
    </w:p>
    <w:p>
      <w:pPr>
        <w:spacing w:after="0" w:line="18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As discussed above under “Reasonable Country of Origin Inquiry” and “Part I. Company Overview and Description of the Company’s Products Covered by This Report,” we identified our Covered Products falling within the scope of the Rule (i.e., products which were manufactured or contracted to be manufactured by us) during the 2025 calendar year. Based on these Covered Products, we were able to identify the suppliers from which we purchase components or materials for the Covered Products that may include Conflict Minerals. We identified 80 relevant suppliers whose products may contain 3TG.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Request Conflict Minerals Reporting Templates (CMRTs) from suppliers.</w:t>
      </w:r>
    </w:p>
    <w:p>
      <w:pPr>
        <w:spacing w:after="0" w:line="23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surveyed 80 suppliers, through our third-party service provider, to identify the 3TG contained in the products they supply us with, the smelters or refiners that process the 3TG and the country of origin, or likely country of origin, of such 3TG. The survey was conducted by utilizing version 6.5, or higher, of the CMRT. We utilize this RMI reporting template to collect data and information from our suppliers in order to identify the origins of 3TG in our supply chain. We received responses from 37 out of 80 suppliers (46%).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Assess Risks in the Supply Chain.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Analyze surveys for RMAP “conformant” and “active” smelters or refiners.</w:t>
      </w:r>
    </w:p>
    <w:p>
      <w:pPr>
        <w:spacing w:after="0" w:line="23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We compared smelters or refiners identified in the supply chain survey against the RMI’s “conformant” or “active” smelter or refiner list, which lists all facilities that have received a RMAP “conformant” or “active” designation from the RMI. We reviewed all of the responses to determine whether smelters or refiners identified in our supply chain obtained a designation of “conformant” or “active” from the RMI.</w:t>
      </w:r>
    </w:p>
    <w:p>
      <w:pPr>
        <w:spacing w:after="0" w:line="17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Of the CMRT responses we received from suppliers, some included incomplete responses as well as inconsistencies and inaccuracies within the reported data. In such cases, we contacted the suppliers directly, through our third-party service provider, in an effort to secure revised responses. Through this process, we have identified, to the best of our efforts, the smelters or refiners in our supply chain and country of origin, or likely country of origin, based on information for the smelters or refiners identified in the supply chain survey.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Understand and define RMAP “conformant” and “active” statuses.</w:t>
      </w:r>
    </w:p>
    <w:p>
      <w:pPr>
        <w:spacing w:after="0" w:line="23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To compile its list, the RMI employs independent third-party auditors to audit the source, including mines of origin and chains of custody, of the Conflict Minerals processed by smelters or refiners which agree to undergo an audit. “Conformant” means that a smelter or refiner was listed as “conformant” with the RMAP’s assessment protocols, including those indicated as “re-audit in progress”.</w:t>
      </w:r>
    </w:p>
    <w:p>
      <w:pPr>
        <w:spacing w:after="0" w:line="17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Smelters or refiners labeled as “active” have committed to undergo an audit, which may be in progress, or are participating in one of the cross-recognized certification programs, namely, the London Bullion Market Association ("LBMA") Responsible Gold Certification or Responsible Jewelry Program Chain-of-Custody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i w:val="1"/>
          <w:iCs w:val="1"/>
          <w:color w:val="auto"/>
        </w:rPr>
        <w:t>Step 3. Design and Implement a Strategy to Respond to Identified Risks</w:t>
      </w:r>
    </w:p>
    <w:p>
      <w:pPr>
        <w:spacing w:after="0" w:line="24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are working to improve our due diligence processes with respect to 3TG. Our risk mitigation efforts during 2025 included those discussed in this section.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Participate in Existing Industry Conflict Minerals Initiatives.</w:t>
      </w:r>
    </w:p>
    <w:p>
      <w:pPr>
        <w:spacing w:after="0" w:line="25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 light of the complexity of our and our suppliers’ supply chains, we are currently unable to assess adequately all of the risks in our supply chain. However, we continue to engage with suppliers to obtain current, accurate and complete information about our supply chain through the use of version 6.5, or higher, of the CMRT and to improve due diligence efforts to ensure responsible sourcing in compliance with our Policy.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 Findings to Designated Senior Management.</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senior management, including our Chief Executive Officer, is briefed about our supply chain due diligence efforts, risk analysis results and mitigation efforts.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Devise, Adopt and Implement a Risk Management Plan and Monitor Risk Mitigation Efforts.</w:t>
      </w:r>
    </w:p>
    <w:p>
      <w:pPr>
        <w:spacing w:after="0" w:line="24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Policy seeks to encourage suppliers to responsibly source Conflict Minerals, but does not necessarily seek to eliminate sourcing from any of the Covered Countries. We also periodically review our progress, assess identified risks and determine follow-up action, as follows:</w:t>
      </w:r>
    </w:p>
    <w:p>
      <w:pPr>
        <w:spacing w:after="0" w:line="189" w:lineRule="exact"/>
        <w:rPr>
          <w:sz w:val="20"/>
          <w:szCs w:val="20"/>
          <w:color w:val="auto"/>
        </w:rPr>
      </w:pPr>
    </w:p>
    <w:p>
      <w:pPr>
        <w:ind w:left="860" w:right="20" w:hanging="488"/>
        <w:spacing w:after="0" w:line="28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follow up on inconsistent, incomplete, or inaccurate responses, and send reminders to suppliers who have not responded to our requests for information, through our third-party service provider.</w:t>
      </w:r>
    </w:p>
    <w:p>
      <w:pPr>
        <w:spacing w:after="0" w:line="161"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that source from smelters or refiners from any of the Covered Countries, where such smelters or refiners are not certified by the RMAP, are contacted and are asked to submit more information about their sourcing practices, including a corrective action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Carry Out Independent Third-Party Audit of Smelter/Refiner’s Due Diligence Practices</w:t>
      </w:r>
    </w:p>
    <w:p>
      <w:pPr>
        <w:spacing w:after="0" w:line="24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Due to our downstream position in the supply chain, we do not have a direct relationship with 3TG smelters or refiners. Therefore, we do not perform direct audits of these entities within our supply chain, but instead rely on the efforts of organizations such as the RMI to influence smelters or refiners to undergo audits and become certified through the RMAP.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Report Annually on Supply Chain Due Diligence</w:t>
      </w:r>
    </w:p>
    <w:p>
      <w:pPr>
        <w:spacing w:after="0" w:line="24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Our supply chain due diligence efforts are described in this CMR. We have filed this CMR in accordance with the Rule by filing a Form SD with the SEC, with this CMR as an exhibit. This CMR is also available on our website https://ir.golifeward.com/corporate-governance/charters-and-policies. Information contained on, or that can be accessed through, our website does not constitute a part of this CMR and is not incorporated by reference herein.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The Company’s Due Diligence Findings and Conclusions</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Our Conflict Minerals process, as described above, allowed us to identify in-scope products and the corresponding suppliers. These 80 identified suppliers were surveyed using version 6.5, or higher, of the CMRT. We received survey responses from 46% of our suppliers. The results of the survey do not allow us to make definitive conclusions as to the source or likely source of any potential Conflict Minerals that were necessary to the production or functionality of our products that were manufactured, or contracted to manufacture,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Facilities Used to Process the Conflict Minerals in the Covered Products</w:t>
      </w:r>
    </w:p>
    <w:p>
      <w:pPr>
        <w:spacing w:after="0" w:line="24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Based on the information obtained during the minerals supply chain due diligence process, we were unable to conclusively determine the origin or likely origin of all the Conflict Minerals contained in the Covered Products. Based on the information provided by our suppliers as well as by the RMI, as of the date of this CMR, we believe that the facilities that may have been used to process the Conflict Minerals in our products during the reporting period in the 2025 calendar year may include the smelters or refiners listed in Annex I hereto.</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Countries of Origin of the Conflict Minerals in the Covered Products</w:t>
      </w:r>
    </w:p>
    <w:p>
      <w:pPr>
        <w:spacing w:after="0" w:line="24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Based on information provided by our suppliers and the RMI, the Conflict Minerals contained in our Covered Products may have originated from one or more of the countries identified in Annex II hereto.</w:t>
      </w:r>
    </w:p>
    <w:p>
      <w:pPr>
        <w:spacing w:after="0" w:line="16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can only provide reasonable, not absolute, assurance regarding the source and chain of custody of the Conflict Minerals in our Covered Products, since the information comes from direct and secondary suppliers and the RMI. Information gathered from our suppliers is not on a continuous, real-time basis. Despite our efforts to follow up with certain suppliers, we did not receive responses from all suppliers, and the suppliers who responded showed varying degrees of cooperation with our inquiries.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Implementation of Strategies to Respond to Identified Risks and Future Steps</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have taken, and intend to continue taking, steps to improve our due diligence processes and to minimize the risk that our necessary Conflict Minerals benefit, or likely benefit, armed groups in the DRC or Covered Countries, as well as Conflict-Affected or High-Risk Areas. Going forward, we will continue working with our global supply chain to ensure responsible sourcing and ensure compliance with applicable regulations through the following steps:</w:t>
      </w:r>
    </w:p>
    <w:p>
      <w:pPr>
        <w:spacing w:after="0" w:line="199" w:lineRule="exact"/>
        <w:rPr>
          <w:sz w:val="20"/>
          <w:szCs w:val="20"/>
          <w:color w:val="auto"/>
        </w:rPr>
      </w:pPr>
    </w:p>
    <w:p>
      <w:pPr>
        <w:ind w:left="860" w:right="20" w:hanging="488"/>
        <w:spacing w:after="0" w:line="261"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from time to time, as is reasonably required, direct suppliers that do not respond to the supply chain survey by a specified date, requesting their responses.</w:t>
      </w:r>
    </w:p>
    <w:p>
      <w:pPr>
        <w:ind w:left="860" w:hanging="488"/>
        <w:spacing w:after="0" w:line="250"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as is reasonably required, applicable smelters or refiners identified in the supply chain survey against the list of facilities that have received a RMAP “conformant” or “active” designation from the RMI’s RMAP.</w:t>
      </w: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 good faith effort to enact terms and conditions related to Conflict Minerals in supplier contracts.</w:t>
      </w:r>
    </w:p>
    <w:p>
      <w:pPr>
        <w:spacing w:after="0" w:line="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implement the Company’s Conflict Minerals Policy.</w:t>
      </w:r>
    </w:p>
    <w:p>
      <w:pPr>
        <w:spacing w:after="0" w:line="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with suppliers to encourage them to provide requested information for future reporting years.</w:t>
      </w:r>
    </w:p>
    <w:p>
      <w:pPr>
        <w:spacing w:after="0" w:line="9" w:lineRule="exact"/>
        <w:rPr>
          <w:rFonts w:ascii="Times New Roman" w:cs="Times New Roman" w:eastAsia="Times New Roman" w:hAnsi="Times New Roman"/>
          <w:sz w:val="18"/>
          <w:szCs w:val="18"/>
          <w:color w:val="auto"/>
        </w:rPr>
      </w:pPr>
    </w:p>
    <w:p>
      <w:pPr>
        <w:ind w:left="860" w:right="20" w:hanging="488"/>
        <w:spacing w:after="0" w:line="250"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communicate to our suppliers the expectation that they steer their supply chain towards “conformant” smelters as defined by the RMI's RMAP or other equivalent programs.</w:t>
      </w: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revised and updated versions of the CMRT for our survey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i w:val="1"/>
          <w:iCs w:val="1"/>
          <w:color w:val="auto"/>
        </w:rPr>
        <w:t>In addition to historical facts, this CMR contains forward-looking statements within the meaning of Section 27A of the U.S. Securities Act of 1933, as amended, Section 21E of the 1934 Act, and the safe harbor provisions of the U.S. Private Securities Litigation Reform Act of 1995. We have based these forward-looking statements on our current expectations and projections about future events. Forward-looking statements include information regarding further supplier engagement, due diligence and risk mitigation efforts and strategy, and involve certain risks and uncertainties. Actual results could differ materially from the forward-looking statements. Words such as “expects,” “anticipates,” “intends,” “seeks,” “believes,” “may,” “will,” variations of these words, and similar expressions are intended to identify such forward looking statements. Risks and uncertainties that could cause actual results to differ include, without limitation, risks and uncertainties associated with the progress of industry and other supply chain transparency and smelter or refiner validation programs for Conflict Minerals (including the possibility of inaccurate information, fraud and other irregularities), inadequate supplier education and knowledge, limitations on the ability or willingness of suppliers to provide more accurate, complete and detailed information and limitations on our ability to verify the accuracy or completeness of any supply chain information provided by suppliers and other factors discussed under the heading “Risk Factors” in our annual report on Form 10-K for the year ended December 31, 2025, as filed with the SEC on March 18, 2026, and other documents subsequently filed with or furnished to the SEC. Any forward-looking statement made in this CMR speaks only as of the date hereof. Except as otherwise required by law, the Company undertakes no obligation to update publicly the information contained in this CMR, or any forward looking statements, to reflect new information, events or circumstances after the date they were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Annex I</w:t>
            </w:r>
          </w:p>
        </w:tc>
        <w:tc>
          <w:tcPr>
            <w:tcW w:w="3940" w:type="dxa"/>
            <w:vAlign w:val="bottom"/>
          </w:tcPr>
          <w:p>
            <w:pPr>
              <w:spacing w:after="0"/>
              <w:rPr>
                <w:sz w:val="20"/>
                <w:szCs w:val="20"/>
                <w:color w:val="auto"/>
              </w:rPr>
            </w:pPr>
          </w:p>
        </w:tc>
      </w:tr>
      <w:tr>
        <w:trPr>
          <w:trHeight w:val="405"/>
        </w:trPr>
        <w:tc>
          <w:tcPr>
            <w:tcW w:w="1700" w:type="dxa"/>
            <w:vAlign w:val="bottom"/>
          </w:tcPr>
          <w:p>
            <w:pPr>
              <w:spacing w:after="0"/>
              <w:rPr>
                <w:sz w:val="24"/>
                <w:szCs w:val="24"/>
                <w:color w:val="auto"/>
              </w:rPr>
            </w:pPr>
          </w:p>
        </w:tc>
        <w:tc>
          <w:tcPr>
            <w:tcW w:w="5600" w:type="dxa"/>
            <w:vAlign w:val="bottom"/>
            <w:gridSpan w:val="3"/>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rPr>
              <w:t>List of Identified Smelters or Refiners</w:t>
            </w:r>
          </w:p>
        </w:tc>
        <w:tc>
          <w:tcPr>
            <w:tcW w:w="3940" w:type="dxa"/>
            <w:vAlign w:val="bottom"/>
          </w:tcPr>
          <w:p>
            <w:pPr>
              <w:spacing w:after="0"/>
              <w:rPr>
                <w:sz w:val="24"/>
                <w:szCs w:val="24"/>
                <w:color w:val="auto"/>
              </w:rPr>
            </w:pPr>
          </w:p>
        </w:tc>
      </w:tr>
      <w:tr>
        <w:trPr>
          <w:trHeight w:val="270"/>
        </w:trPr>
        <w:tc>
          <w:tcPr>
            <w:tcW w:w="1700" w:type="dxa"/>
            <w:vAlign w:val="bottom"/>
            <w:tcBorders>
              <w:bottom w:val="single" w:sz="8" w:color="auto"/>
            </w:tcBorders>
          </w:tcPr>
          <w:p>
            <w:pPr>
              <w:spacing w:after="0"/>
              <w:rPr>
                <w:sz w:val="23"/>
                <w:szCs w:val="23"/>
                <w:color w:val="auto"/>
              </w:rPr>
            </w:pPr>
          </w:p>
        </w:tc>
        <w:tc>
          <w:tcPr>
            <w:tcW w:w="2460" w:type="dxa"/>
            <w:vAlign w:val="bottom"/>
            <w:tcBorders>
              <w:bottom w:val="single" w:sz="8" w:color="auto"/>
            </w:tcBorders>
          </w:tcPr>
          <w:p>
            <w:pPr>
              <w:spacing w:after="0"/>
              <w:rPr>
                <w:sz w:val="23"/>
                <w:szCs w:val="23"/>
                <w:color w:val="auto"/>
              </w:rPr>
            </w:pPr>
          </w:p>
        </w:tc>
        <w:tc>
          <w:tcPr>
            <w:tcW w:w="2920" w:type="dxa"/>
            <w:vAlign w:val="bottom"/>
            <w:tcBorders>
              <w:top w:val="single" w:sz="8" w:color="auto"/>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940" w:type="dxa"/>
            <w:vAlign w:val="bottom"/>
            <w:tcBorders>
              <w:bottom w:val="single" w:sz="8" w:color="auto"/>
            </w:tcBorders>
          </w:tcPr>
          <w:p>
            <w:pPr>
              <w:spacing w:after="0"/>
              <w:rPr>
                <w:sz w:val="23"/>
                <w:szCs w:val="23"/>
                <w:color w:val="auto"/>
              </w:rPr>
            </w:pPr>
          </w:p>
        </w:tc>
      </w:tr>
      <w:tr>
        <w:trPr>
          <w:trHeight w:val="323"/>
        </w:trPr>
        <w:tc>
          <w:tcPr>
            <w:tcW w:w="1700" w:type="dxa"/>
            <w:vAlign w:val="bottom"/>
            <w:tcBorders>
              <w:left w:val="single" w:sz="8" w:color="auto"/>
              <w:bottom w:val="single" w:sz="8" w:color="E7E6E6"/>
              <w:right w:val="single" w:sz="8" w:color="auto"/>
            </w:tcBorders>
            <w:shd w:val="clear" w:color="auto" w:fill="E7E6E6"/>
          </w:tcPr>
          <w:p>
            <w:pPr>
              <w:ind w:left="500"/>
              <w:spacing w:after="0"/>
              <w:rPr>
                <w:sz w:val="20"/>
                <w:szCs w:val="20"/>
                <w:color w:val="auto"/>
              </w:rPr>
            </w:pPr>
            <w:r>
              <w:rPr>
                <w:rFonts w:ascii="Times New Roman" w:cs="Times New Roman" w:eastAsia="Times New Roman" w:hAnsi="Times New Roman"/>
                <w:sz w:val="18"/>
                <w:szCs w:val="18"/>
                <w:b w:val="1"/>
                <w:bCs w:val="1"/>
                <w:color w:val="auto"/>
              </w:rPr>
              <w:t>Metal (*)</w:t>
            </w:r>
          </w:p>
        </w:tc>
        <w:tc>
          <w:tcPr>
            <w:tcW w:w="5600" w:type="dxa"/>
            <w:vAlign w:val="bottom"/>
            <w:tcBorders>
              <w:bottom w:val="single" w:sz="8" w:color="E7E6E6"/>
              <w:right w:val="single" w:sz="8" w:color="auto"/>
            </w:tcBorders>
            <w:gridSpan w:val="3"/>
            <w:shd w:val="clear" w:color="auto" w:fill="E7E6E6"/>
          </w:tcPr>
          <w:p>
            <w:pPr>
              <w:ind w:left="1780"/>
              <w:spacing w:after="0"/>
              <w:rPr>
                <w:sz w:val="20"/>
                <w:szCs w:val="20"/>
                <w:color w:val="auto"/>
              </w:rPr>
            </w:pPr>
            <w:r>
              <w:rPr>
                <w:rFonts w:ascii="Times New Roman" w:cs="Times New Roman" w:eastAsia="Times New Roman" w:hAnsi="Times New Roman"/>
                <w:sz w:val="18"/>
                <w:szCs w:val="18"/>
                <w:b w:val="1"/>
                <w:bCs w:val="1"/>
                <w:color w:val="auto"/>
              </w:rPr>
              <w:t>Smelter Reference List (*)</w:t>
            </w:r>
          </w:p>
        </w:tc>
        <w:tc>
          <w:tcPr>
            <w:tcW w:w="3940" w:type="dxa"/>
            <w:vAlign w:val="bottom"/>
            <w:tcBorders>
              <w:bottom w:val="single" w:sz="8" w:color="E7E6E6"/>
              <w:right w:val="single" w:sz="8" w:color="auto"/>
            </w:tcBorders>
            <w:shd w:val="clear" w:color="auto" w:fill="E7E6E6"/>
          </w:tcPr>
          <w:p>
            <w:pPr>
              <w:ind w:left="1180"/>
              <w:spacing w:after="0"/>
              <w:rPr>
                <w:sz w:val="20"/>
                <w:szCs w:val="20"/>
                <w:color w:val="auto"/>
              </w:rPr>
            </w:pPr>
            <w:r>
              <w:rPr>
                <w:rFonts w:ascii="Times New Roman" w:cs="Times New Roman" w:eastAsia="Times New Roman" w:hAnsi="Times New Roman"/>
                <w:sz w:val="18"/>
                <w:szCs w:val="18"/>
                <w:b w:val="1"/>
                <w:bCs w:val="1"/>
                <w:color w:val="auto"/>
              </w:rPr>
              <w:t>Smelter Country (*)</w:t>
            </w:r>
          </w:p>
        </w:tc>
      </w:tr>
      <w:tr>
        <w:trPr>
          <w:trHeight w:val="257"/>
        </w:trPr>
        <w:tc>
          <w:tcPr>
            <w:tcW w:w="17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top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39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Agosi AG</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UZBEKISTAN</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Argor-Heraeus S.A.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SWITZERLAND</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ASAHI METALFINE, Inc.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Asaka Riken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Atasay Kuyumculuk Sanayi Ve Ticaret A.S.</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TURKEY</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Aurubis AG</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PHILIPPINES</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Boliden Ronnskar</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SWEDEN</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 Hafner GmbH + Co. KG</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Caridad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MEXICO</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CANADA</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Cendres + Metaux S.A.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SWITZERLAND</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Chimet S.p.A.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ITALY</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Chugai Mining</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DSC (Do Sung Corporation)</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Dowa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JSC Novosibirsk Refinery</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LT Metal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Heimerle + Meule GmbH</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HwaSeong CJ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Istanbul Gold Refinery</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TURKEY</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Japan Mint</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Jiangxi Copper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398"/>
        </w:trPr>
        <w:tc>
          <w:tcPr>
            <w:tcW w:w="17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Borders>
              <w:right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Asahi Refining USA Inc.</w:t>
            </w:r>
          </w:p>
        </w:tc>
        <w:tc>
          <w:tcPr>
            <w:tcW w:w="39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JSC Uralelectromed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Kazakhmys Smelting LLC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KAZAKHSTAN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Kazzinc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KAZAKHSTAN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Kojima Chemicals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Kyrgyzaltyn JSC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KYRGYZSTAN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SAUDI ARABIA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Lingbao Gold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LS MnM Inc.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KOREA, REPUBLIC OF</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Materion</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Matsuda Sangyo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Metalor Technologies S.A.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TURKEY</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UZBEKISTAN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Nihon Material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40" w:type="dxa"/>
            <w:vAlign w:val="bottom"/>
            <w:tcBorders>
              <w:right w:val="single" w:sz="8" w:color="auto"/>
            </w:tcBorders>
            <w:shd w:val="clear" w:color="auto" w:fill="000000"/>
          </w:tcPr>
          <w:p>
            <w:pPr>
              <w:spacing w:after="0"/>
              <w:rPr>
                <w:sz w:val="21"/>
                <w:szCs w:val="21"/>
                <w:color w:val="auto"/>
              </w:rPr>
            </w:pPr>
          </w:p>
        </w:tc>
        <w:tc>
          <w:tcPr>
            <w:tcW w:w="16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OJSC "The Gulidov Krasnoyarsk Non-Ferrous Metals Plant" (OJSC</w:t>
            </w:r>
          </w:p>
        </w:tc>
        <w:tc>
          <w:tcPr>
            <w:tcW w:w="3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56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Krastsvetmet)</w:t>
            </w:r>
          </w:p>
        </w:tc>
        <w:tc>
          <w:tcPr>
            <w:tcW w:w="3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0" w:type="dxa"/>
            <w:vAlign w:val="bottom"/>
            <w:tcBorders>
              <w:right w:val="single" w:sz="8" w:color="auto"/>
            </w:tcBorders>
            <w:shd w:val="clear" w:color="auto" w:fill="000000"/>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5600" w:type="dxa"/>
            <w:vAlign w:val="bottom"/>
            <w:tcBorders>
              <w:right w:val="single" w:sz="8" w:color="auto"/>
            </w:tcBorders>
            <w:vMerge w:val="continue"/>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MKS PAMP SA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PX Precinox S.A.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Rand Refinery (Pty)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SOUTH AFRICA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Royal Canadian Mint</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Sabin Metal Corp.</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Samduck Precious Metals</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KOREA, REPUBLIC OF</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Samwon Metals Corp.</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KOREA, REPUBLIC OF</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98"/>
        </w:trPr>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Borders>
              <w:right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39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Tokuriki Honten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Tongling Nonferrous Metals Group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Torecom</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BELGIUM</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Valcambi S.A.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SWITZERLAND</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AUSTRALIA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Yamakin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Yokohama Metal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Morris and Watson</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NEW ZEALAND</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SAFINA A.S.</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CZECHIA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THAILAND</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MMTC-PAMP India Pvt.,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POLAND</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ZIMBABWE</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Emirates Gold DMCC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Kaloti Precious Metals</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Sudan Gold Refinery</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SUDAN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T.C.A S.p.A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ITALY</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REMONDIS PMR B.V.</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NETHERLANDS</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Fujairah Gold FZC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398"/>
        </w:trPr>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0"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Borders>
              <w:right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Industrial Refining Company</w:t>
            </w:r>
          </w:p>
        </w:tc>
        <w:tc>
          <w:tcPr>
            <w:tcW w:w="39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BELGIUM</w:t>
            </w:r>
          </w:p>
        </w:tc>
      </w:tr>
      <w:tr>
        <w:trPr>
          <w:trHeight w:val="61"/>
        </w:trPr>
        <w:tc>
          <w:tcPr>
            <w:tcW w:w="40" w:type="dxa"/>
            <w:vAlign w:val="bottom"/>
            <w:tcBorders>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Korea Zinc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Marsam Metals</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TOO Tau-Ken-Altyn</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KAZAKHSTAN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Albino Mountinho Lda.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PORTUGAL</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SAAMP</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FRANCE</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L'Orfebre S.A.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ANDORRA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8853 S.p.A.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ITALY</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Italpreziosi</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ITALY</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WIELAND Edelmetalle GmbH</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Ogussa Osterreichische Gold- und Silber-Scheideanstalt GmbH</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AUSTRIA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 Traders and Refiners</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SOUTH AFRICA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Sai Refinery</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Modeltech Sdn Bhd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MALAYSIA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Bangalore Refinery</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Pease &amp; Curren</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JALAN &amp; Company</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SungEel HiMetal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CHILE</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ABC Refinery Pty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AUSTRALIA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Safimet S.p.A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ITALY</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 Technology</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LITHUANIA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African Gold Refinery</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UGANDA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 Coast Refinery</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GHANA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NH Recytech Company</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QG Refining, LLC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CGR Metalloys Pvt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Sovereign Metals</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Kundan Care Products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 Rasmussen</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NORWAY</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398"/>
        </w:trPr>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0" w:right="339" w:bottom="838"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Borders>
              <w:right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Alexy Metals</w:t>
            </w:r>
          </w:p>
        </w:tc>
        <w:tc>
          <w:tcPr>
            <w:tcW w:w="39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MD Overseas</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Metallix Refining Inc.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SOUTH AFRICA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WEEEREFINING</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 by Gold Colombia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Dongwu Gold Group</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SAM Precious Metals FZ-LLC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ARAB EMIRATES</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NOBLE METAL SERVICES</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Coimpa Industrial LTDA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40" w:type="dxa"/>
            <w:vAlign w:val="bottom"/>
            <w:tcBorders>
              <w:right w:val="single" w:sz="8" w:color="auto"/>
            </w:tcBorders>
            <w:shd w:val="clear" w:color="auto" w:fill="000000"/>
          </w:tcPr>
          <w:p>
            <w:pPr>
              <w:spacing w:after="0"/>
              <w:rPr>
                <w:sz w:val="21"/>
                <w:szCs w:val="21"/>
                <w:color w:val="auto"/>
              </w:rPr>
            </w:pPr>
          </w:p>
        </w:tc>
        <w:tc>
          <w:tcPr>
            <w:tcW w:w="16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SHENZHEN JINJUNWEI RESOURCE COMPREHENSIVE</w:t>
            </w:r>
          </w:p>
        </w:tc>
        <w:tc>
          <w:tcPr>
            <w:tcW w:w="3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56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DEVELOPMENT CO., LTD.</w:t>
            </w:r>
          </w:p>
        </w:tc>
        <w:tc>
          <w:tcPr>
            <w:tcW w:w="3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shd w:val="clear" w:color="auto" w:fill="000000"/>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5600" w:type="dxa"/>
            <w:vAlign w:val="bottom"/>
            <w:tcBorders>
              <w:right w:val="single" w:sz="8" w:color="auto"/>
            </w:tcBorders>
            <w:vMerge w:val="continue"/>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TITAN COMPANY LIMITED, JEWELLERY DIVISION</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GG Refinery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TANZANIA, UNITED REPUBLIC OF</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Attero Recycling Pvt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SOUTH AFRICA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Elite Industech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TAIWAN, PROVINCE OF 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Gasabo Gold Refinery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RWANDA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Minera Titan del Peru SRL (MTP) - Belen Plant</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PERU</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Jiujiang Tanbre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AMG Brasil</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Mineracao Taboca S.A.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NPM Silmet AS</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ESTONIA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Taki Chemical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Telex Metals</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KAZAKHSTAN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 Block Metals, LLC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98"/>
        </w:trPr>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Borders>
              <w:right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39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KEMET de Mexico</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MEXICO</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TANIOBIS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THAILAND</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TANIOBIS GmbH</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Materion Newton Inc.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TANIOBIS Japan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5D Production OU</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ESTONIA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PowerX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RWANDA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Suns Nonferrous Materials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Premium Tin Indonesia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Dowa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 Vinto</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BOLIVIA (PLURINATIONAL STATE OF)</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Estanho de Rondonia S.A.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Fenix Metals</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POLAND</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 Tin Group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MALAYSIA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Metallic Resources, Inc.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Mineracao Taboca S.A.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Minsur</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PERU</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Novosibirsk Tin Combine</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THAILAND</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BOLIVIA (PLURINATIONAL STATE OF)</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Mitra Stania Prima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Prima Timah Utama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Timah Tbk Kundur</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Timah Tbk Mentok</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398"/>
        </w:trPr>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0"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Borders>
              <w:right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Rui Da Hung</w:t>
            </w:r>
          </w:p>
        </w:tc>
        <w:tc>
          <w:tcPr>
            <w:tcW w:w="39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TAIWAN, PROVINCE OF CHINA</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Thaisarco</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THAILAND</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VIET NAM</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Melt Metais e Ligas S.A.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PHILIPPINES</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40" w:type="dxa"/>
            <w:vAlign w:val="bottom"/>
            <w:tcBorders>
              <w:right w:val="single" w:sz="8" w:color="auto"/>
            </w:tcBorders>
            <w:shd w:val="clear" w:color="auto" w:fill="000000"/>
          </w:tcPr>
          <w:p>
            <w:pPr>
              <w:spacing w:after="0"/>
              <w:rPr>
                <w:sz w:val="21"/>
                <w:szCs w:val="21"/>
                <w:color w:val="auto"/>
              </w:rPr>
            </w:pPr>
          </w:p>
        </w:tc>
        <w:tc>
          <w:tcPr>
            <w:tcW w:w="16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Electro-Mechanical Facility of the Cao Bang Minerals &amp; Metallurgy Joint</w:t>
            </w:r>
          </w:p>
        </w:tc>
        <w:tc>
          <w:tcPr>
            <w:tcW w:w="3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VIET NAM</w:t>
            </w: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56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Stock Company</w:t>
            </w:r>
          </w:p>
        </w:tc>
        <w:tc>
          <w:tcPr>
            <w:tcW w:w="3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shd w:val="clear" w:color="auto" w:fill="000000"/>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5600" w:type="dxa"/>
            <w:vAlign w:val="bottom"/>
            <w:tcBorders>
              <w:right w:val="single" w:sz="8" w:color="auto"/>
            </w:tcBorders>
            <w:vMerge w:val="continue"/>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VIET NAM</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VIET NAM</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Rajehan Ariq</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Cipta Persada Mulia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VIET NAM</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Super Ligas</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Aurubis Beerse</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BELGIUM</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Aurubis Berango</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Bangka Prima Tin</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Modeltech Sdn Bhd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MALAYSIA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Pongpipat Company Limited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MYANMAR</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Luna Smelter,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RWANDA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40" w:type="dxa"/>
            <w:vAlign w:val="bottom"/>
            <w:tcBorders>
              <w:right w:val="single" w:sz="8" w:color="auto"/>
            </w:tcBorders>
            <w:shd w:val="clear" w:color="auto" w:fill="000000"/>
          </w:tcPr>
          <w:p>
            <w:pPr>
              <w:spacing w:after="0"/>
              <w:rPr>
                <w:sz w:val="21"/>
                <w:szCs w:val="21"/>
                <w:color w:val="auto"/>
              </w:rPr>
            </w:pPr>
          </w:p>
        </w:tc>
        <w:tc>
          <w:tcPr>
            <w:tcW w:w="16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CRM Fundicao De Metais E Comercio De Equipamentos Eletronicos Do</w:t>
            </w:r>
          </w:p>
        </w:tc>
        <w:tc>
          <w:tcPr>
            <w:tcW w:w="3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56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Brasil Ltda</w:t>
            </w:r>
          </w:p>
        </w:tc>
        <w:tc>
          <w:tcPr>
            <w:tcW w:w="3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0" w:type="dxa"/>
            <w:vAlign w:val="bottom"/>
            <w:tcBorders>
              <w:right w:val="single" w:sz="8" w:color="auto"/>
            </w:tcBorders>
            <w:shd w:val="clear" w:color="auto" w:fill="000000"/>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5600" w:type="dxa"/>
            <w:vAlign w:val="bottom"/>
            <w:tcBorders>
              <w:right w:val="single" w:sz="8" w:color="auto"/>
            </w:tcBorders>
            <w:vMerge w:val="continue"/>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CRM Synergies</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CONGO, DEMOCRATIC REPUBLIC OF THE</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99"/>
        </w:trPr>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40" w:type="dxa"/>
            <w:vAlign w:val="bottom"/>
            <w:tcBorders>
              <w:right w:val="single" w:sz="8" w:color="auto"/>
            </w:tcBorders>
          </w:tcPr>
          <w:p>
            <w:pPr>
              <w:spacing w:after="0"/>
              <w:rPr>
                <w:sz w:val="24"/>
                <w:szCs w:val="24"/>
                <w:color w:val="auto"/>
              </w:rPr>
            </w:pPr>
          </w:p>
        </w:tc>
        <w:tc>
          <w:tcPr>
            <w:tcW w:w="1660" w:type="dxa"/>
            <w:vAlign w:val="bottom"/>
            <w:tcBorders>
              <w:top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Takehara PVD Materials Plant / PVD Materials Division of MITSUI</w:t>
            </w:r>
          </w:p>
        </w:tc>
        <w:tc>
          <w:tcPr>
            <w:tcW w:w="3940" w:type="dxa"/>
            <w:vAlign w:val="bottom"/>
            <w:tcBorders>
              <w:top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56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MINING &amp; SMELTING CO., LTD.</w:t>
            </w:r>
          </w:p>
        </w:tc>
        <w:tc>
          <w:tcPr>
            <w:tcW w:w="3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5600" w:type="dxa"/>
            <w:vAlign w:val="bottom"/>
            <w:tcBorders>
              <w:right w:val="single" w:sz="8" w:color="auto"/>
            </w:tcBorders>
            <w:vMerge w:val="continue"/>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MALAYSIA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UGANDA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40" w:type="dxa"/>
            <w:vAlign w:val="bottom"/>
            <w:tcBorders>
              <w:right w:val="single" w:sz="8" w:color="auto"/>
            </w:tcBorders>
            <w:shd w:val="clear" w:color="auto" w:fill="000000"/>
          </w:tcPr>
          <w:p>
            <w:pPr>
              <w:spacing w:after="0"/>
              <w:rPr>
                <w:sz w:val="21"/>
                <w:szCs w:val="21"/>
                <w:color w:val="auto"/>
              </w:rPr>
            </w:pPr>
          </w:p>
        </w:tc>
        <w:tc>
          <w:tcPr>
            <w:tcW w:w="16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Longnan Chuangyue Environmental Protection Technology Development</w:t>
            </w:r>
          </w:p>
        </w:tc>
        <w:tc>
          <w:tcPr>
            <w:tcW w:w="3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56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 Ltd</w:t>
            </w:r>
          </w:p>
        </w:tc>
        <w:tc>
          <w:tcPr>
            <w:tcW w:w="3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0" w:type="dxa"/>
            <w:vAlign w:val="bottom"/>
            <w:tcBorders>
              <w:right w:val="single" w:sz="8" w:color="auto"/>
            </w:tcBorders>
            <w:shd w:val="clear" w:color="auto" w:fill="000000"/>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5600" w:type="dxa"/>
            <w:vAlign w:val="bottom"/>
            <w:tcBorders>
              <w:right w:val="single" w:sz="8" w:color="auto"/>
            </w:tcBorders>
            <w:vMerge w:val="continue"/>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Arsed Indonesia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 Kay Metal, Inc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A.L.M.T. Corp.</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Kennametal Huntsville</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CNMC (Guangxi) PGMA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 New Metals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Kennametal Fallon</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AUSTRIA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Xiamen Tungsten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VIET NAM</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40" w:type="dxa"/>
            <w:vAlign w:val="bottom"/>
            <w:tcBorders>
              <w:right w:val="single" w:sz="8" w:color="auto"/>
            </w:tcBorders>
            <w:shd w:val="clear" w:color="auto" w:fill="000000"/>
          </w:tcPr>
          <w:p>
            <w:pPr>
              <w:spacing w:after="0"/>
              <w:rPr>
                <w:sz w:val="21"/>
                <w:szCs w:val="21"/>
                <w:color w:val="auto"/>
              </w:rPr>
            </w:pPr>
          </w:p>
        </w:tc>
        <w:tc>
          <w:tcPr>
            <w:tcW w:w="16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Hunan Shizhuyuan Nonferrous Metals Co., Ltd. Chenzhou Tungsten</w:t>
            </w:r>
          </w:p>
        </w:tc>
        <w:tc>
          <w:tcPr>
            <w:tcW w:w="3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56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Products Branch</w:t>
            </w:r>
          </w:p>
        </w:tc>
        <w:tc>
          <w:tcPr>
            <w:tcW w:w="3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shd w:val="clear" w:color="auto" w:fill="000000"/>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5600" w:type="dxa"/>
            <w:vAlign w:val="bottom"/>
            <w:tcBorders>
              <w:right w:val="single" w:sz="8" w:color="auto"/>
            </w:tcBorders>
            <w:vMerge w:val="continue"/>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H.C. Starck Tungsten GmbH</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Masan High-Tech Materials</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VIET NAM</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Niagara Refining LLC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Hydrometallurg, JSC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98"/>
        </w:trPr>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Borders>
              <w:right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39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61"/>
        </w:trPr>
        <w:tc>
          <w:tcPr>
            <w:tcW w:w="40" w:type="dxa"/>
            <w:vAlign w:val="bottom"/>
            <w:tcBorders>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PHILIPPINES</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ACL Metais Eireli</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Moliren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Lianyou Metals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NPP Tyazhmetprom LLC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Cronimet Brasil Ltda</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Artek LLC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OOO “Technolom” 2</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OOO “Technolom” 1</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LLC Vostok</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HANNAE FOR T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VIET NAM</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VIET NAM</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MALAMET SMELTING SDN. BHD.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MALAYSIA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DONGKUK INDUSTRIES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Lianyou Resources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PHILIPPINES</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VIET NAM</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PHILIPPINES</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S.P.T. spol.s r.o.</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CZECHIA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Tungamoy Metals Inc.</w:t>
            </w:r>
          </w:p>
        </w:tc>
        <w:tc>
          <w:tcPr>
            <w:tcW w:w="3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412"/>
        </w:trPr>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Annex II</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List of Countries of Origin of Conflict Minerals*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our due diligence, the above smelters or refiners reported by our relevant suppliers may process Conflict Minerals from one or more of the following reported countries of origin:*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9512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9512300"/>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sectPr>
      </w:pPr>
    </w:p>
    <w:p>
      <w:pPr>
        <w:spacing w:after="0" w:line="2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Conflict</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Mineral</w:t>
      </w:r>
    </w:p>
    <w:p>
      <w:pPr>
        <w:spacing w:after="0" w:line="11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Gold</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Country of Origin May Include the Following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ANDORRA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AUSTRIA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COLOMBIA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CZECHIA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GHANA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KAZAKHSTAN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 REPUBLIC OF</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KYRGYZSTAN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LITHUANIA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ZEALAND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PERU</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PORTUGAL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RUSSIAN FEDERATION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RWANDA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SAUDI ARABIA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SUDAN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 PROVINCE OF CHINA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TANZANIA, UNITED REPUBLIC OF</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THAILAND</w:t>
      </w:r>
    </w:p>
    <w:p>
      <w:pPr>
        <w:sectPr>
          <w:pgSz w:w="11900" w:h="16838" w:orient="portrait"/>
          <w:cols w:equalWidth="0" w:num="2">
            <w:col w:w="1160" w:space="580"/>
            <w:col w:w="9500"/>
          </w:cols>
          <w:pgMar w:left="320" w:top="117" w:right="339" w:bottom="0" w:gutter="0" w:footer="0" w:header="0"/>
          <w:type w:val="continuous"/>
        </w:sectPr>
      </w:pPr>
    </w:p>
    <w:bookmarkStart w:id="21" w:name="page22"/>
    <w:bookmarkEnd w:id="21"/>
    <w:p>
      <w:pPr>
        <w:ind w:left="620"/>
        <w:spacing w:after="0"/>
        <w:rPr>
          <w:sz w:val="20"/>
          <w:szCs w:val="20"/>
          <w:color w:val="auto"/>
        </w:rPr>
      </w:pPr>
      <w:r>
        <w:rPr>
          <w:rFonts w:ascii="Times New Roman" w:cs="Times New Roman" w:eastAsia="Times New Roman" w:hAnsi="Times New Roman"/>
          <w:sz w:val="18"/>
          <w:szCs w:val="18"/>
          <w:color w:val="auto"/>
        </w:rPr>
        <w:t>TURKEY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-119380</wp:posOffset>
            </wp:positionV>
            <wp:extent cx="7132320" cy="1260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60475"/>
                    </a:xfrm>
                    <a:prstGeom prst="rect">
                      <a:avLst/>
                    </a:prstGeom>
                    <a:noFill/>
                  </pic:spPr>
                </pic:pic>
              </a:graphicData>
            </a:graphic>
          </wp:anchor>
        </w:drawing>
      </w:r>
    </w:p>
    <w:p>
      <w:pPr>
        <w:spacing w:after="0" w:line="1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UGANDA</w:t>
      </w:r>
    </w:p>
    <w:p>
      <w:pPr>
        <w:spacing w:after="0" w:line="1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UNITED ARAB EMIRATES</w:t>
      </w:r>
    </w:p>
    <w:p>
      <w:pPr>
        <w:spacing w:after="0" w:line="1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UZBEKISTAN</w:t>
      </w:r>
    </w:p>
    <w:p>
      <w:pPr>
        <w:spacing w:after="0" w:line="1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ZIMBABWE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 w:name="page23"/>
    <w:bookmarkEnd w:id="22"/>
    <w:p>
      <w:pPr>
        <w:ind w:left="12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303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7303770"/>
                    </a:xfrm>
                    <a:prstGeom prst="rect">
                      <a:avLst/>
                    </a:prstGeom>
                    <a:noFill/>
                  </pic:spPr>
                </pic:pic>
              </a:graphicData>
            </a:graphic>
          </wp:anchor>
        </w:drawing>
        <w:t>BRAZIL</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CHINA</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ESTONIA</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GERMANY</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INDIA</w:t>
      </w:r>
    </w:p>
    <w:p>
      <w:pPr>
        <w:spacing w:after="0" w:line="10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JAPAN</w:t>
      </w:r>
    </w:p>
    <w:p>
      <w:pPr>
        <w:spacing w:after="0" w:line="203" w:lineRule="auto"/>
        <w:rPr>
          <w:sz w:val="20"/>
          <w:szCs w:val="20"/>
          <w:color w:val="auto"/>
        </w:rPr>
      </w:pPr>
      <w:r>
        <w:rPr>
          <w:rFonts w:ascii="Times New Roman" w:cs="Times New Roman" w:eastAsia="Times New Roman" w:hAnsi="Times New Roman"/>
          <w:sz w:val="18"/>
          <w:szCs w:val="18"/>
          <w:color w:val="auto"/>
        </w:rPr>
        <w:t>Tantalum</w:t>
      </w:r>
    </w:p>
    <w:p>
      <w:pPr>
        <w:ind w:left="1220"/>
        <w:spacing w:after="0"/>
        <w:rPr>
          <w:sz w:val="20"/>
          <w:szCs w:val="20"/>
          <w:color w:val="auto"/>
        </w:rPr>
      </w:pPr>
      <w:r>
        <w:rPr>
          <w:rFonts w:ascii="Times New Roman" w:cs="Times New Roman" w:eastAsia="Times New Roman" w:hAnsi="Times New Roman"/>
          <w:sz w:val="18"/>
          <w:szCs w:val="18"/>
          <w:color w:val="auto"/>
        </w:rPr>
        <w:t>KAZAKHSTAN</w:t>
      </w:r>
    </w:p>
    <w:p>
      <w:pPr>
        <w:spacing w:after="0" w:line="11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MEXICO</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RUSSIAN FEDERATION</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RWANDA</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THAILAND</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AUSTRALIA</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BELGIUM</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BOLIVIA (PLURINATIONAL STATE OF)</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BRAZIL</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CHINA</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CONGO, DEMOCRATIC REPUBLIC OF THE</w:t>
      </w:r>
    </w:p>
    <w:p>
      <w:pPr>
        <w:spacing w:after="0" w:line="14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INDIA</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INDONESIA</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JAPAN</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MALAYSIA</w:t>
      </w:r>
    </w:p>
    <w:p>
      <w:pPr>
        <w:spacing w:after="0" w:line="10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MYANMAR</w:t>
      </w:r>
    </w:p>
    <w:p>
      <w:pPr>
        <w:ind w:left="220"/>
        <w:spacing w:after="0" w:line="203" w:lineRule="auto"/>
        <w:rPr>
          <w:sz w:val="20"/>
          <w:szCs w:val="20"/>
          <w:color w:val="auto"/>
        </w:rPr>
      </w:pPr>
      <w:r>
        <w:rPr>
          <w:rFonts w:ascii="Times New Roman" w:cs="Times New Roman" w:eastAsia="Times New Roman" w:hAnsi="Times New Roman"/>
          <w:sz w:val="18"/>
          <w:szCs w:val="18"/>
          <w:color w:val="auto"/>
        </w:rPr>
        <w:t>Tin</w:t>
      </w:r>
    </w:p>
    <w:p>
      <w:pPr>
        <w:ind w:left="1220"/>
        <w:spacing w:after="0"/>
        <w:rPr>
          <w:sz w:val="20"/>
          <w:szCs w:val="20"/>
          <w:color w:val="auto"/>
        </w:rPr>
      </w:pPr>
      <w:r>
        <w:rPr>
          <w:rFonts w:ascii="Times New Roman" w:cs="Times New Roman" w:eastAsia="Times New Roman" w:hAnsi="Times New Roman"/>
          <w:sz w:val="18"/>
          <w:szCs w:val="18"/>
          <w:color w:val="auto"/>
        </w:rPr>
        <w:t>PERU</w:t>
      </w:r>
    </w:p>
    <w:p>
      <w:pPr>
        <w:spacing w:after="0" w:line="11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PHILIPPINES</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POLAND</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RUSSIAN FEDERATION</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RWANDA</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SPAIN</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TAIWAN, PROVINCE OF CHINA</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THAILAND</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UGANDA</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VIET 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317500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19"/>
          </w:cols>
          <w:pgMar w:left="840" w:top="189" w:right="1440" w:bottom="1440" w:gutter="0" w:footer="0" w:header="0"/>
        </w:sectPr>
      </w:pPr>
    </w:p>
    <w:bookmarkStart w:id="23" w:name="page24"/>
    <w:bookmarkEnd w:id="23"/>
    <w:tbl>
      <w:tblPr>
        <w:tblLayout w:type="fixed"/>
        <w:tblInd w:w="22" w:type="dxa"/>
        <w:tblCellMar>
          <w:top w:w="0" w:type="dxa"/>
          <w:left w:w="0" w:type="dxa"/>
          <w:bottom w:w="0" w:type="dxa"/>
          <w:right w:w="0" w:type="dxa"/>
        </w:tblCellMar>
      </w:tblPr>
      <w:tr>
        <w:trPr>
          <w:trHeight w:val="283"/>
        </w:trPr>
        <w:tc>
          <w:tcPr>
            <w:tcW w:w="1680" w:type="dxa"/>
            <w:vAlign w:val="bottom"/>
            <w:tcBorders>
              <w:top w:val="single" w:sz="8" w:color="auto"/>
              <w:left w:val="single" w:sz="8" w:color="auto"/>
              <w:right w:val="single" w:sz="8" w:color="auto"/>
            </w:tcBorders>
          </w:tcPr>
          <w:p>
            <w:pPr>
              <w:spacing w:after="0"/>
              <w:rPr>
                <w:sz w:val="24"/>
                <w:szCs w:val="24"/>
                <w:color w:val="auto"/>
              </w:rPr>
            </w:pPr>
          </w:p>
        </w:tc>
        <w:tc>
          <w:tcPr>
            <w:tcW w:w="95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AUSTRIA</w:t>
            </w:r>
          </w:p>
        </w:tc>
      </w:tr>
      <w:tr>
        <w:trPr>
          <w:trHeight w:val="61"/>
        </w:trPr>
        <w:tc>
          <w:tcPr>
            <w:tcW w:w="1680" w:type="dxa"/>
            <w:vAlign w:val="bottom"/>
            <w:tcBorders>
              <w:left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r>
      <w:tr>
        <w:trPr>
          <w:trHeight w:val="257"/>
        </w:trPr>
        <w:tc>
          <w:tcPr>
            <w:tcW w:w="1680" w:type="dxa"/>
            <w:vAlign w:val="bottom"/>
            <w:tcBorders>
              <w:left w:val="single" w:sz="8" w:color="auto"/>
              <w:right w:val="single" w:sz="8" w:color="auto"/>
            </w:tcBorders>
          </w:tcPr>
          <w:p>
            <w:pPr>
              <w:spacing w:after="0"/>
              <w:rPr>
                <w:sz w:val="22"/>
                <w:szCs w:val="22"/>
                <w:color w:val="auto"/>
              </w:rPr>
            </w:pPr>
          </w:p>
        </w:tc>
        <w:tc>
          <w:tcPr>
            <w:tcW w:w="95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1680" w:type="dxa"/>
            <w:vAlign w:val="bottom"/>
            <w:tcBorders>
              <w:left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r>
      <w:tr>
        <w:trPr>
          <w:trHeight w:val="257"/>
        </w:trPr>
        <w:tc>
          <w:tcPr>
            <w:tcW w:w="1680" w:type="dxa"/>
            <w:vAlign w:val="bottom"/>
            <w:tcBorders>
              <w:left w:val="single" w:sz="8" w:color="auto"/>
              <w:right w:val="single" w:sz="8" w:color="auto"/>
            </w:tcBorders>
          </w:tcPr>
          <w:p>
            <w:pPr>
              <w:spacing w:after="0"/>
              <w:rPr>
                <w:sz w:val="22"/>
                <w:szCs w:val="22"/>
                <w:color w:val="auto"/>
              </w:rPr>
            </w:pPr>
          </w:p>
        </w:tc>
        <w:tc>
          <w:tcPr>
            <w:tcW w:w="95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1680" w:type="dxa"/>
            <w:vAlign w:val="bottom"/>
            <w:tcBorders>
              <w:left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r>
      <w:tr>
        <w:trPr>
          <w:trHeight w:val="257"/>
        </w:trPr>
        <w:tc>
          <w:tcPr>
            <w:tcW w:w="1680" w:type="dxa"/>
            <w:vAlign w:val="bottom"/>
            <w:tcBorders>
              <w:left w:val="single" w:sz="8" w:color="auto"/>
              <w:right w:val="single" w:sz="8" w:color="auto"/>
            </w:tcBorders>
          </w:tcPr>
          <w:p>
            <w:pPr>
              <w:spacing w:after="0"/>
              <w:rPr>
                <w:sz w:val="22"/>
                <w:szCs w:val="22"/>
                <w:color w:val="auto"/>
              </w:rPr>
            </w:pPr>
          </w:p>
        </w:tc>
        <w:tc>
          <w:tcPr>
            <w:tcW w:w="95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CZECHIA</w:t>
            </w:r>
          </w:p>
        </w:tc>
      </w:tr>
      <w:tr>
        <w:trPr>
          <w:trHeight w:val="61"/>
        </w:trPr>
        <w:tc>
          <w:tcPr>
            <w:tcW w:w="1680" w:type="dxa"/>
            <w:vAlign w:val="bottom"/>
            <w:tcBorders>
              <w:left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r>
      <w:tr>
        <w:trPr>
          <w:trHeight w:val="257"/>
        </w:trPr>
        <w:tc>
          <w:tcPr>
            <w:tcW w:w="1680" w:type="dxa"/>
            <w:vAlign w:val="bottom"/>
            <w:tcBorders>
              <w:left w:val="single" w:sz="8" w:color="auto"/>
              <w:right w:val="single" w:sz="8" w:color="auto"/>
            </w:tcBorders>
          </w:tcPr>
          <w:p>
            <w:pPr>
              <w:spacing w:after="0"/>
              <w:rPr>
                <w:sz w:val="22"/>
                <w:szCs w:val="22"/>
                <w:color w:val="auto"/>
              </w:rPr>
            </w:pPr>
          </w:p>
        </w:tc>
        <w:tc>
          <w:tcPr>
            <w:tcW w:w="95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61"/>
        </w:trPr>
        <w:tc>
          <w:tcPr>
            <w:tcW w:w="1680" w:type="dxa"/>
            <w:vAlign w:val="bottom"/>
            <w:tcBorders>
              <w:left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r>
      <w:tr>
        <w:trPr>
          <w:trHeight w:val="257"/>
        </w:trPr>
        <w:tc>
          <w:tcPr>
            <w:tcW w:w="1680" w:type="dxa"/>
            <w:vAlign w:val="bottom"/>
            <w:tcBorders>
              <w:left w:val="single" w:sz="8" w:color="auto"/>
              <w:right w:val="single" w:sz="8" w:color="auto"/>
            </w:tcBorders>
          </w:tcPr>
          <w:p>
            <w:pPr>
              <w:spacing w:after="0"/>
              <w:rPr>
                <w:sz w:val="22"/>
                <w:szCs w:val="22"/>
                <w:color w:val="auto"/>
              </w:rPr>
            </w:pPr>
          </w:p>
        </w:tc>
        <w:tc>
          <w:tcPr>
            <w:tcW w:w="95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1680" w:type="dxa"/>
            <w:vAlign w:val="bottom"/>
            <w:tcBorders>
              <w:left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r>
      <w:tr>
        <w:trPr>
          <w:trHeight w:val="257"/>
        </w:trPr>
        <w:tc>
          <w:tcPr>
            <w:tcW w:w="1680" w:type="dxa"/>
            <w:vAlign w:val="bottom"/>
            <w:tcBorders>
              <w:left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Tungsten</w:t>
            </w:r>
          </w:p>
        </w:tc>
        <w:tc>
          <w:tcPr>
            <w:tcW w:w="95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61"/>
        </w:trPr>
        <w:tc>
          <w:tcPr>
            <w:tcW w:w="1680" w:type="dxa"/>
            <w:vAlign w:val="bottom"/>
            <w:tcBorders>
              <w:left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r>
      <w:tr>
        <w:trPr>
          <w:trHeight w:val="257"/>
        </w:trPr>
        <w:tc>
          <w:tcPr>
            <w:tcW w:w="1680" w:type="dxa"/>
            <w:vAlign w:val="bottom"/>
            <w:tcBorders>
              <w:left w:val="single" w:sz="8" w:color="auto"/>
              <w:right w:val="single" w:sz="8" w:color="auto"/>
            </w:tcBorders>
          </w:tcPr>
          <w:p>
            <w:pPr>
              <w:spacing w:after="0"/>
              <w:rPr>
                <w:sz w:val="22"/>
                <w:szCs w:val="22"/>
                <w:color w:val="auto"/>
              </w:rPr>
            </w:pPr>
          </w:p>
        </w:tc>
        <w:tc>
          <w:tcPr>
            <w:tcW w:w="95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MALAYSIA</w:t>
            </w:r>
          </w:p>
        </w:tc>
      </w:tr>
      <w:tr>
        <w:trPr>
          <w:trHeight w:val="61"/>
        </w:trPr>
        <w:tc>
          <w:tcPr>
            <w:tcW w:w="1680" w:type="dxa"/>
            <w:vAlign w:val="bottom"/>
            <w:tcBorders>
              <w:left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r>
      <w:tr>
        <w:trPr>
          <w:trHeight w:val="257"/>
        </w:trPr>
        <w:tc>
          <w:tcPr>
            <w:tcW w:w="1680" w:type="dxa"/>
            <w:vAlign w:val="bottom"/>
            <w:tcBorders>
              <w:left w:val="single" w:sz="8" w:color="auto"/>
              <w:right w:val="single" w:sz="8" w:color="auto"/>
            </w:tcBorders>
          </w:tcPr>
          <w:p>
            <w:pPr>
              <w:spacing w:after="0"/>
              <w:rPr>
                <w:sz w:val="22"/>
                <w:szCs w:val="22"/>
                <w:color w:val="auto"/>
              </w:rPr>
            </w:pPr>
          </w:p>
        </w:tc>
        <w:tc>
          <w:tcPr>
            <w:tcW w:w="95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PHILIPPINES</w:t>
            </w:r>
          </w:p>
        </w:tc>
      </w:tr>
      <w:tr>
        <w:trPr>
          <w:trHeight w:val="61"/>
        </w:trPr>
        <w:tc>
          <w:tcPr>
            <w:tcW w:w="1680" w:type="dxa"/>
            <w:vAlign w:val="bottom"/>
            <w:tcBorders>
              <w:left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r>
      <w:tr>
        <w:trPr>
          <w:trHeight w:val="257"/>
        </w:trPr>
        <w:tc>
          <w:tcPr>
            <w:tcW w:w="1680" w:type="dxa"/>
            <w:vAlign w:val="bottom"/>
            <w:tcBorders>
              <w:left w:val="single" w:sz="8" w:color="auto"/>
              <w:right w:val="single" w:sz="8" w:color="auto"/>
            </w:tcBorders>
          </w:tcPr>
          <w:p>
            <w:pPr>
              <w:spacing w:after="0"/>
              <w:rPr>
                <w:sz w:val="22"/>
                <w:szCs w:val="22"/>
                <w:color w:val="auto"/>
              </w:rPr>
            </w:pPr>
          </w:p>
        </w:tc>
        <w:tc>
          <w:tcPr>
            <w:tcW w:w="95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61"/>
        </w:trPr>
        <w:tc>
          <w:tcPr>
            <w:tcW w:w="1680" w:type="dxa"/>
            <w:vAlign w:val="bottom"/>
            <w:tcBorders>
              <w:left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r>
      <w:tr>
        <w:trPr>
          <w:trHeight w:val="257"/>
        </w:trPr>
        <w:tc>
          <w:tcPr>
            <w:tcW w:w="1680" w:type="dxa"/>
            <w:vAlign w:val="bottom"/>
            <w:tcBorders>
              <w:left w:val="single" w:sz="8" w:color="auto"/>
              <w:right w:val="single" w:sz="8" w:color="auto"/>
            </w:tcBorders>
          </w:tcPr>
          <w:p>
            <w:pPr>
              <w:spacing w:after="0"/>
              <w:rPr>
                <w:sz w:val="22"/>
                <w:szCs w:val="22"/>
                <w:color w:val="auto"/>
              </w:rPr>
            </w:pPr>
          </w:p>
        </w:tc>
        <w:tc>
          <w:tcPr>
            <w:tcW w:w="95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61"/>
        </w:trPr>
        <w:tc>
          <w:tcPr>
            <w:tcW w:w="1680" w:type="dxa"/>
            <w:vAlign w:val="bottom"/>
            <w:tcBorders>
              <w:left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r>
      <w:tr>
        <w:trPr>
          <w:trHeight w:val="257"/>
        </w:trPr>
        <w:tc>
          <w:tcPr>
            <w:tcW w:w="1680" w:type="dxa"/>
            <w:vAlign w:val="bottom"/>
            <w:tcBorders>
              <w:left w:val="single" w:sz="8" w:color="auto"/>
              <w:right w:val="single" w:sz="8" w:color="auto"/>
            </w:tcBorders>
          </w:tcPr>
          <w:p>
            <w:pPr>
              <w:spacing w:after="0"/>
              <w:rPr>
                <w:sz w:val="22"/>
                <w:szCs w:val="22"/>
                <w:color w:val="auto"/>
              </w:rPr>
            </w:pPr>
          </w:p>
        </w:tc>
        <w:tc>
          <w:tcPr>
            <w:tcW w:w="95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1680" w:type="dxa"/>
            <w:vAlign w:val="bottom"/>
            <w:tcBorders>
              <w:left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r>
      <w:tr>
        <w:trPr>
          <w:trHeight w:val="257"/>
        </w:trPr>
        <w:tc>
          <w:tcPr>
            <w:tcW w:w="1680" w:type="dxa"/>
            <w:vAlign w:val="bottom"/>
            <w:tcBorders>
              <w:left w:val="single" w:sz="8" w:color="auto"/>
              <w:right w:val="single" w:sz="8" w:color="auto"/>
            </w:tcBorders>
          </w:tcPr>
          <w:p>
            <w:pPr>
              <w:spacing w:after="0"/>
              <w:rPr>
                <w:sz w:val="22"/>
                <w:szCs w:val="22"/>
                <w:color w:val="auto"/>
              </w:rPr>
            </w:pPr>
          </w:p>
        </w:tc>
        <w:tc>
          <w:tcPr>
            <w:tcW w:w="95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VIET NAM</w:t>
            </w:r>
          </w:p>
        </w:tc>
      </w:tr>
      <w:tr>
        <w:trPr>
          <w:trHeight w:val="61"/>
        </w:trPr>
        <w:tc>
          <w:tcPr>
            <w:tcW w:w="1680" w:type="dxa"/>
            <w:vAlign w:val="bottom"/>
            <w:tcBorders>
              <w:left w:val="single" w:sz="8" w:color="auto"/>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left="-8" w:firstLine="8"/>
        <w:spacing w:after="0" w:line="270" w:lineRule="auto"/>
        <w:tabs>
          <w:tab w:leader="none" w:pos="13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Company’s due diligence exercise set forth above under the heading “Part II. The Company’s Due Diligence Process” explains the Company’s efforts to determine the mine or location of origin with the greatest possible specificity. As our suppliers’ Smelters or Refiners did not provide complete information on the location of the mine in their CMRTs, the Company was not able to establish the exact country of origin from the sourcing information reported regarding their Conflict Minerals. Therefore, the Company has indicated the countries of origin information as reported in our suppliers’ CMRTs, in the relevant “Smelter or Refiner Country” field of the CMRT declaration.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189865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283845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32"/>
      </w:cols>
      <w:pgMar w:left="328"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2026-05-29T16:21:41Z</dcterms:created>
  <dcterms:modified xsi:type="dcterms:W3CDTF">2026-05-29T16:21:41Z</dcterms:modified>
</cp:coreProperties>
</file>